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B1913">
      <w:pPr>
        <w:pStyle w:val="2"/>
        <w:widowControl/>
        <w:spacing w:beforeAutospacing="0" w:after="90" w:afterAutospacing="0" w:line="324" w:lineRule="atLeast"/>
        <w:ind w:left="0" w:right="0" w:firstLine="0"/>
        <w:jc w:val="center"/>
        <w:rPr>
          <w:rFonts w:ascii="-webkit-standard" w:hAnsi="-webkit-standard" w:eastAsia="-webkit-standard" w:cs="-webkit-standard"/>
          <w:i w:val="0"/>
          <w:caps w:val="0"/>
          <w:color w:val="000000"/>
          <w:spacing w:val="0"/>
          <w:sz w:val="44"/>
          <w:szCs w:val="44"/>
          <w:u w:val="none"/>
        </w:rPr>
      </w:pPr>
      <w:bookmarkStart w:id="0" w:name="_GoBack"/>
      <w:r>
        <w:rPr>
          <w:rFonts w:ascii="彩虹小标宋" w:hAnsi="彩虹小标宋" w:eastAsia="彩虹小标宋" w:cs="彩虹小标宋"/>
          <w:b/>
          <w:i w:val="0"/>
          <w:caps w:val="0"/>
          <w:color w:val="222222"/>
          <w:spacing w:val="0"/>
          <w:sz w:val="44"/>
          <w:szCs w:val="44"/>
          <w:u w:val="none"/>
        </w:rPr>
        <w:t>天津生态城教育管理有限公司教育收费</w:t>
      </w:r>
    </w:p>
    <w:p w14:paraId="181220A8">
      <w:pPr>
        <w:pStyle w:val="2"/>
        <w:widowControl/>
        <w:spacing w:beforeAutospacing="0" w:after="90" w:afterAutospacing="0" w:line="324" w:lineRule="atLeast"/>
        <w:ind w:left="0" w:right="0" w:firstLine="0"/>
        <w:jc w:val="center"/>
        <w:rPr>
          <w:rFonts w:hint="default" w:ascii="彩虹小标宋" w:hAnsi="彩虹小标宋" w:eastAsia="彩虹小标宋" w:cs="彩虹小标宋"/>
          <w:b/>
          <w:i w:val="0"/>
          <w:caps w:val="0"/>
          <w:color w:val="222222"/>
          <w:spacing w:val="0"/>
          <w:sz w:val="44"/>
          <w:szCs w:val="44"/>
          <w:u w:val="none"/>
        </w:rPr>
      </w:pPr>
      <w:r>
        <w:rPr>
          <w:rFonts w:hint="default" w:ascii="彩虹小标宋" w:hAnsi="彩虹小标宋" w:eastAsia="彩虹小标宋" w:cs="彩虹小标宋"/>
          <w:b/>
          <w:i w:val="0"/>
          <w:caps w:val="0"/>
          <w:color w:val="222222"/>
          <w:spacing w:val="0"/>
          <w:sz w:val="44"/>
          <w:szCs w:val="44"/>
          <w:u w:val="none"/>
        </w:rPr>
        <w:t>系统项目采购需求</w:t>
      </w:r>
    </w:p>
    <w:bookmarkEnd w:id="0"/>
    <w:p w14:paraId="15ACD12A">
      <w:pPr>
        <w:pStyle w:val="2"/>
        <w:widowControl/>
        <w:spacing w:beforeAutospacing="0" w:after="90" w:afterAutospacing="0" w:line="324" w:lineRule="atLeast"/>
        <w:ind w:left="0" w:right="0" w:firstLine="0"/>
        <w:jc w:val="center"/>
        <w:rPr>
          <w:rFonts w:hint="eastAsia" w:ascii="彩虹小标宋" w:hAnsi="彩虹小标宋" w:eastAsia="彩虹小标宋" w:cs="彩虹小标宋"/>
          <w:b/>
          <w:i w:val="0"/>
          <w:caps w:val="0"/>
          <w:color w:val="222222"/>
          <w:spacing w:val="0"/>
          <w:sz w:val="44"/>
          <w:szCs w:val="44"/>
          <w:u w:val="none"/>
          <w:lang w:val="en-US" w:eastAsia="zh-CN"/>
        </w:rPr>
      </w:pPr>
    </w:p>
    <w:p w14:paraId="23ACE21C">
      <w:p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一、基本要求</w:t>
      </w:r>
    </w:p>
    <w:p w14:paraId="50C25B68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1.合法使用权与销售权：供应商为软件著作权人（开发商），须提供该软件的《计算机软件著作权登记证书》原件扫描件（证书需包含著作权人、软件名称、版本号等关键信息）；</w:t>
      </w:r>
    </w:p>
    <w:p w14:paraId="6E4D88A6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若供应商为产品代理商或授权经销商，须提供软件著作权人出具的针对本项目的唯一授权书原件扫描件（授权书需明确授权范围为“本项目软件销售及售后服务”，包含授权方、被授权方、软件名称、版本号、授权有效期等信息，且有效期覆盖本项目合同履行期），同时一并提供著作权人自身的《计算机软件著作权登记证书》原件扫描件。</w:t>
      </w:r>
    </w:p>
    <w:p w14:paraId="3E0E32DD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2.国内可靠技术支持：服务商需在天津市设有技术支持团队，或承诺 7×24 小时远程响应 + 4 小时内现场支援，确保故障及时处理。</w:t>
      </w:r>
    </w:p>
    <w:p w14:paraId="2FE9AF89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3.正式版本要求：交付的接口系统需为正式部署版，禁止提供测试版、试用版；系统功能需经过完整测试验证，无影响核心流程（如支付、退款）的已知 bug。</w:t>
      </w:r>
    </w:p>
    <w:p w14:paraId="1B40A535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4.完整技术资料：需提供全套标准化技术资料，包括但不限于：《接口开发文档》（含接口参数、调用逻辑、错误码说明）、《测试报告》等。</w:t>
      </w:r>
    </w:p>
    <w:p w14:paraId="33CA9529">
      <w:p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二、功能要求</w:t>
      </w:r>
    </w:p>
    <w:p w14:paraId="2FF4B7CE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本项目需完成以下六类核心接口的系统对接，并提供相应的实施、保障和运维服务。</w:t>
      </w:r>
    </w:p>
    <w:tbl>
      <w:tblPr>
        <w:tblStyle w:val="3"/>
        <w:tblW w:w="8324" w:type="dxa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968"/>
        <w:gridCol w:w="1767"/>
        <w:gridCol w:w="3023"/>
      </w:tblGrid>
      <w:tr w14:paraId="09349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1C0D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流程环节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862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银行侧接口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D6F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平台侧接口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24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功能说明</w:t>
            </w:r>
          </w:p>
        </w:tc>
      </w:tr>
      <w:tr w14:paraId="151CB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C773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 查询订单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70F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PAY00101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D5E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5A1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平台向银行发送姓名、身份证号</w:t>
            </w:r>
          </w:p>
        </w:tc>
      </w:tr>
      <w:tr w14:paraId="3A00D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5F2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 发起支付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39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7C78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IPSPT10007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051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银行向平台查询待缴订单信息，缴费人确认订单后选择支付方式（微信/支付宝/建行App）完成支付</w:t>
            </w:r>
          </w:p>
        </w:tc>
      </w:tr>
      <w:tr w14:paraId="27FD5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474B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 支付回调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A1FA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E31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IPSPT20009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4D6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支付完成后，银行通过该接口将支付结果通知平台</w:t>
            </w:r>
          </w:p>
        </w:tc>
      </w:tr>
      <w:tr w14:paraId="00243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5B23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 退款发起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E9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IPSPT20010 / IPSPT10019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58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ECF7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缴费人申请退款时，平台向银行发起退款请求</w:t>
            </w:r>
          </w:p>
        </w:tc>
      </w:tr>
      <w:tr w14:paraId="7E72A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424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 查询退款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75E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IPSPT10020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167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250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平台查询退款状态，银行返回退款信息</w:t>
            </w:r>
          </w:p>
        </w:tc>
      </w:tr>
      <w:tr w14:paraId="64DD6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41D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 对账管理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6E21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ZC00002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E8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4C0A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日终核查每一笔支付订单状态</w:t>
            </w:r>
          </w:p>
        </w:tc>
      </w:tr>
    </w:tbl>
    <w:p w14:paraId="7B475D31"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 w14:paraId="6B75A273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中标服务商需完成以下服务内容：</w:t>
      </w:r>
    </w:p>
    <w:p w14:paraId="3E7D950F">
      <w:pPr>
        <w:numPr>
          <w:ilvl w:val="0"/>
          <w:numId w:val="1"/>
        </w:numPr>
        <w:spacing w:line="360" w:lineRule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接口开发与配置：完成上述接口的对接开发、参数适配、调用逻辑配置</w:t>
      </w:r>
      <w:r>
        <w:rPr>
          <w:rFonts w:hint="eastAsia" w:ascii="彩虹粗仿宋" w:hAnsi="彩虹粗仿宋" w:eastAsia="彩虹粗仿宋" w:cs="彩虹粗仿宋"/>
          <w:sz w:val="32"/>
          <w:szCs w:val="32"/>
          <w:lang w:eastAsia="zh-CN"/>
        </w:rPr>
        <w:t>，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满足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天津中新生态城教育局“统一缴费平台”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线上缴费使用需求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；</w:t>
      </w:r>
    </w:p>
    <w:p w14:paraId="01BB8389">
      <w:pPr>
        <w:numPr>
          <w:ilvl w:val="0"/>
          <w:numId w:val="1"/>
        </w:numPr>
        <w:spacing w:line="360" w:lineRule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联调与测试支持：协助完成接口端到端测试、模拟全流程交易并配合银行系统验收；</w:t>
      </w:r>
    </w:p>
    <w:p w14:paraId="4946C9A8">
      <w:pPr>
        <w:numPr>
          <w:ilvl w:val="0"/>
          <w:numId w:val="1"/>
        </w:numPr>
        <w:spacing w:line="360" w:lineRule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系统安全要求：所有接口调用须通过 HTTPS 加密，支持 IP 白名单、数字签名验证署等；</w:t>
      </w:r>
    </w:p>
    <w:p w14:paraId="3EF9520B"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三、技术要求</w:t>
      </w:r>
    </w:p>
    <w:p w14:paraId="1A64E5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1.平台支持要求：</w:t>
      </w:r>
    </w:p>
    <w:p w14:paraId="2F3012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兼容建设银行现有技术架构：支持建行核心业务系统、支付渠道网关的接口协议）。支持对接天津中新生态城教育局“统一缴费平台”系统。</w:t>
      </w:r>
    </w:p>
    <w:p w14:paraId="28579D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2.完整性与独立性要求：</w:t>
      </w:r>
    </w:p>
    <w:p w14:paraId="58712E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核心功能自主开发，不依赖非必要第三方软件；若需依赖基础组件，需选用成熟开源组件，禁止依赖收费或小众组件；系统可独立部署于建行指定服务器，不与其他无关系统共享资源。</w:t>
      </w:r>
    </w:p>
    <w:p w14:paraId="0A2072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3.性能要求：</w:t>
      </w:r>
    </w:p>
    <w:p w14:paraId="095431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并发处理能力：支持每秒≥50 笔订单查询请求、≥30 笔支付发起请求，峰值（如开学缴费季）可扩展至每秒≥100 笔；</w:t>
      </w:r>
    </w:p>
    <w:p w14:paraId="28FD8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系统可用性：全年运行可用率≥99.9%，计划停机维护需提前 72 小时通知建行与教育局，单次维护时长≤4 小时（限凌晨 00:00-04:00）；</w:t>
      </w:r>
    </w:p>
    <w:p w14:paraId="4AB019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数据一致性：支付 / 退款数据在银行系统与教育局平台间的同步误差≤1 分钟，对账差异率≤0.05%。</w:t>
      </w:r>
    </w:p>
    <w:p w14:paraId="4222B241"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四、数量要求</w:t>
      </w:r>
    </w:p>
    <w:p w14:paraId="7AE69C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接口：1套</w:t>
      </w:r>
    </w:p>
    <w:p w14:paraId="794673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版本要求：正式版</w:t>
      </w:r>
    </w:p>
    <w:p w14:paraId="6B56CF12"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五、到货周期及验收标准</w:t>
      </w:r>
    </w:p>
    <w:p w14:paraId="12137385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周期：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自合同签订之日起30个工作日内完成全部接口开发与联调测试。</w:t>
      </w:r>
    </w:p>
    <w:p w14:paraId="7134BCC6">
      <w:pPr>
        <w:spacing w:line="360" w:lineRule="auto"/>
        <w:ind w:firstLine="640" w:firstLineChars="200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验收标准：生产环境通过支付、退款、对账等功能。</w:t>
      </w:r>
    </w:p>
    <w:p w14:paraId="4FF9C6F0"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六、后续服务要求</w:t>
      </w:r>
    </w:p>
    <w:p w14:paraId="03139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服务方式：</w:t>
      </w:r>
    </w:p>
    <w:p w14:paraId="784F4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7×24 小时热线支持：提供固定服务电话与邮箱，响应时间≤1 小时（电话 / 邮件回复）；</w:t>
      </w:r>
    </w:p>
    <w:p w14:paraId="797D8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远程协助：通过 VPN、远程桌面等方式处理故障，故障解决时间：一般问题≤4 小时，复杂问题≤24 小时；</w:t>
      </w:r>
    </w:p>
    <w:p w14:paraId="2889C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现场支持：天津市区内故障，4 小时内到达现场；</w:t>
      </w:r>
    </w:p>
    <w:p w14:paraId="38B8C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服务内容：</w:t>
      </w:r>
    </w:p>
    <w:p w14:paraId="66360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故障处理：接口调用失败、支付回调异常、退款超时等故障的排查与修复；</w:t>
      </w:r>
    </w:p>
    <w:p w14:paraId="30D2B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日常运维：每月 1 次系统巡检（检查日志、服务器资源、接口连通性）</w:t>
      </w:r>
      <w:r>
        <w:rPr>
          <w:rFonts w:hint="eastAsia" w:ascii="彩虹粗仿宋" w:hAnsi="彩虹粗仿宋" w:eastAsia="彩虹粗仿宋" w:cs="彩虹粗仿宋"/>
          <w:sz w:val="32"/>
          <w:szCs w:val="32"/>
          <w:lang w:eastAsia="zh-CN"/>
        </w:rPr>
        <w:t>；</w:t>
      </w:r>
    </w:p>
    <w:p w14:paraId="7C711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eastAsia="zh-CN"/>
        </w:rPr>
        <w:t>版本更新：免费提供 V1.0.x 小版本升级（含 bug 修复、兼容性优化），升级前需提供更新方案并经建行确认。</w:t>
      </w:r>
    </w:p>
    <w:p w14:paraId="64B04B95"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</w:pPr>
      <w:r>
        <w:rPr>
          <w:rFonts w:hint="eastAsia" w:ascii="彩虹黑体" w:hAnsi="彩虹黑体" w:eastAsia="彩虹黑体" w:cs="彩虹黑体"/>
          <w:b/>
          <w:bCs/>
          <w:sz w:val="32"/>
          <w:szCs w:val="32"/>
          <w:lang w:val="en-US" w:eastAsia="zh-CN"/>
        </w:rPr>
        <w:t>七、其他</w:t>
      </w:r>
    </w:p>
    <w:p w14:paraId="2D9A2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彩虹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ED8AE9"/>
    <w:multiLevelType w:val="singleLevel"/>
    <w:tmpl w:val="A7ED8AE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154D2"/>
    <w:rsid w:val="7236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1477</Words>
  <Characters>1596</Characters>
  <Lines>0</Lines>
  <Paragraphs>0</Paragraphs>
  <TotalTime>8</TotalTime>
  <ScaleCrop>false</ScaleCrop>
  <LinksUpToDate>false</LinksUpToDate>
  <CharactersWithSpaces>1638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2025-10-10T03:38:00Z</dcterms:created>
  <dc:creator>10507</dc:creator>
  <cp:lastModifiedBy>彩華</cp:lastModifiedBy>
  <dcterms:modified xsi:type="dcterms:W3CDTF">2025-10-10T06:50:42Z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eyJoZGlkIjoiYmRiMTkyMTY0OGUxNzI1OGY5Yzg2OWJlMjIwOTdmMmUiLCJ1c2VySWQiOiIxMzkzMzYyNDc1In0=</vt:lpwstr>
  </property>
  <property fmtid="{D5CDD505-2E9C-101B-9397-08002B2CF9AE}" pid="4" name="ICV">
    <vt:lpwstr>75517F51570049418A0FFB94FB6CCE89_13</vt:lpwstr>
  </property>
</Properties>
</file>