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267B11">
      <w:pPr>
        <w:pStyle w:val="3"/>
        <w:spacing w:before="0" w:after="0" w:line="480" w:lineRule="auto"/>
        <w:rPr>
          <w:rFonts w:hint="eastAsia" w:ascii="仿宋" w:hAnsi="仿宋" w:eastAsia="仿宋" w:cs="仿宋"/>
          <w:color w:val="auto"/>
          <w:sz w:val="36"/>
          <w:szCs w:val="22"/>
          <w:highlight w:val="none"/>
        </w:rPr>
      </w:pPr>
      <w:bookmarkStart w:id="0" w:name="_Toc7914"/>
      <w:bookmarkStart w:id="1" w:name="_Toc2132"/>
      <w:bookmarkStart w:id="2" w:name="_Toc109124222"/>
      <w:bookmarkStart w:id="3" w:name="_Toc65682912"/>
      <w:bookmarkStart w:id="42" w:name="_GoBack"/>
      <w:bookmarkEnd w:id="42"/>
      <w:r>
        <w:rPr>
          <w:rFonts w:hint="eastAsia" w:ascii="仿宋" w:hAnsi="仿宋" w:cs="仿宋"/>
          <w:color w:val="auto"/>
          <w:sz w:val="36"/>
          <w:szCs w:val="22"/>
          <w:highlight w:val="none"/>
          <w:lang w:eastAsia="zh-CN"/>
        </w:rPr>
        <w:t>人保财险安徽省宿州市分公司车辆定点维修保养服务采购项目（二次）</w:t>
      </w:r>
      <w:r>
        <w:rPr>
          <w:rFonts w:hint="eastAsia" w:ascii="仿宋" w:hAnsi="仿宋" w:eastAsia="仿宋" w:cs="仿宋"/>
          <w:color w:val="auto"/>
          <w:sz w:val="36"/>
          <w:szCs w:val="22"/>
          <w:highlight w:val="none"/>
        </w:rPr>
        <w:t>招标公告</w:t>
      </w:r>
      <w:bookmarkEnd w:id="0"/>
      <w:bookmarkEnd w:id="1"/>
      <w:bookmarkEnd w:id="2"/>
      <w:bookmarkEnd w:id="3"/>
    </w:p>
    <w:p w14:paraId="28863C72">
      <w:pPr>
        <w:pStyle w:val="2"/>
        <w:rPr>
          <w:rFonts w:hint="eastAsia" w:ascii="仿宋" w:hAnsi="仿宋" w:eastAsia="仿宋" w:cs="仿宋"/>
          <w:color w:val="auto"/>
          <w:szCs w:val="24"/>
          <w:highlight w:val="none"/>
        </w:rPr>
      </w:pPr>
      <w:bookmarkStart w:id="4" w:name="_Toc24950"/>
      <w:bookmarkStart w:id="5" w:name="_Toc10131"/>
      <w:bookmarkStart w:id="6" w:name="_Toc25200"/>
      <w:bookmarkStart w:id="7" w:name="_Toc26355"/>
      <w:bookmarkStart w:id="8" w:name="_Toc109124223"/>
      <w:bookmarkStart w:id="9" w:name="_Toc23271"/>
      <w:bookmarkStart w:id="10" w:name="_Toc65682913"/>
      <w:r>
        <w:rPr>
          <w:rFonts w:hint="eastAsia" w:ascii="仿宋" w:hAnsi="仿宋" w:eastAsia="仿宋" w:cs="仿宋"/>
          <w:color w:val="auto"/>
          <w:szCs w:val="24"/>
          <w:highlight w:val="none"/>
        </w:rPr>
        <w:t>一、</w:t>
      </w:r>
      <w:bookmarkEnd w:id="4"/>
      <w:bookmarkEnd w:id="5"/>
      <w:bookmarkEnd w:id="6"/>
      <w:r>
        <w:rPr>
          <w:rFonts w:hint="eastAsia" w:ascii="仿宋" w:hAnsi="仿宋" w:eastAsia="仿宋" w:cs="仿宋"/>
          <w:color w:val="auto"/>
          <w:szCs w:val="24"/>
          <w:highlight w:val="none"/>
        </w:rPr>
        <w:t>招标条件</w:t>
      </w:r>
      <w:bookmarkEnd w:id="7"/>
      <w:bookmarkEnd w:id="8"/>
      <w:bookmarkEnd w:id="9"/>
      <w:bookmarkEnd w:id="10"/>
    </w:p>
    <w:p w14:paraId="790D5EDC">
      <w:pPr>
        <w:wordWrap w:val="0"/>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本招标项</w:t>
      </w:r>
      <w:r>
        <w:rPr>
          <w:rFonts w:hint="eastAsia" w:ascii="仿宋" w:hAnsi="仿宋" w:eastAsia="仿宋" w:cs="仿宋"/>
          <w:b w:val="0"/>
          <w:bCs w:val="0"/>
          <w:color w:val="auto"/>
          <w:sz w:val="24"/>
          <w:szCs w:val="24"/>
          <w:highlight w:val="none"/>
        </w:rPr>
        <w:t>目</w:t>
      </w:r>
      <w:r>
        <w:rPr>
          <w:rFonts w:hint="eastAsia" w:ascii="仿宋" w:hAnsi="仿宋" w:eastAsia="仿宋" w:cs="仿宋"/>
          <w:b w:val="0"/>
          <w:bCs w:val="0"/>
          <w:color w:val="auto"/>
          <w:sz w:val="24"/>
          <w:szCs w:val="24"/>
          <w:highlight w:val="none"/>
          <w:u w:val="single"/>
          <w:lang w:eastAsia="zh-CN"/>
        </w:rPr>
        <w:t>人保财险安徽省宿州市分公司车辆定点维修保养服务采购项目（二次）</w:t>
      </w:r>
      <w:r>
        <w:rPr>
          <w:rFonts w:hint="eastAsia" w:ascii="仿宋" w:hAnsi="仿宋" w:eastAsia="仿宋" w:cs="仿宋"/>
          <w:b w:val="0"/>
          <w:bCs w:val="0"/>
          <w:color w:val="auto"/>
          <w:sz w:val="24"/>
          <w:szCs w:val="24"/>
          <w:highlight w:val="none"/>
        </w:rPr>
        <w:t>（招标代理项目编号：</w:t>
      </w:r>
      <w:r>
        <w:rPr>
          <w:rFonts w:hint="eastAsia" w:ascii="仿宋" w:hAnsi="仿宋" w:eastAsia="仿宋" w:cs="仿宋"/>
          <w:b w:val="0"/>
          <w:bCs w:val="0"/>
          <w:color w:val="auto"/>
          <w:sz w:val="24"/>
          <w:szCs w:val="24"/>
          <w:highlight w:val="none"/>
          <w:lang w:eastAsia="zh-CN"/>
        </w:rPr>
        <w:t>04-14-04A-2025-D-F-E21362C02</w:t>
      </w:r>
      <w:r>
        <w:rPr>
          <w:rFonts w:hint="eastAsia" w:ascii="仿宋" w:hAnsi="仿宋" w:eastAsia="仿宋" w:cs="仿宋"/>
          <w:b w:val="0"/>
          <w:bCs w:val="0"/>
          <w:color w:val="auto"/>
          <w:sz w:val="24"/>
          <w:szCs w:val="24"/>
          <w:highlight w:val="none"/>
        </w:rPr>
        <w:t xml:space="preserve"> ）</w:t>
      </w:r>
      <w:bookmarkStart w:id="11" w:name="_Hlk69906010"/>
      <w:r>
        <w:rPr>
          <w:rFonts w:hint="eastAsia" w:ascii="仿宋" w:hAnsi="仿宋" w:eastAsia="仿宋" w:cs="仿宋"/>
          <w:b w:val="0"/>
          <w:bCs w:val="0"/>
          <w:color w:val="auto"/>
          <w:sz w:val="24"/>
          <w:szCs w:val="24"/>
          <w:highlight w:val="none"/>
        </w:rPr>
        <w:t>由</w:t>
      </w:r>
      <w:r>
        <w:rPr>
          <w:rFonts w:hint="eastAsia" w:ascii="仿宋" w:hAnsi="仿宋" w:eastAsia="仿宋" w:cs="仿宋"/>
          <w:b w:val="0"/>
          <w:bCs w:val="0"/>
          <w:color w:val="auto"/>
          <w:sz w:val="24"/>
          <w:szCs w:val="24"/>
          <w:highlight w:val="none"/>
          <w:u w:val="single"/>
          <w:lang w:eastAsia="zh-CN"/>
        </w:rPr>
        <w:t>中国人民财产保险股份有限公司宿州市分公司</w:t>
      </w:r>
      <w:r>
        <w:rPr>
          <w:rFonts w:hint="eastAsia" w:ascii="仿宋" w:hAnsi="仿宋" w:eastAsia="仿宋" w:cs="仿宋"/>
          <w:b w:val="0"/>
          <w:bCs w:val="0"/>
          <w:color w:val="auto"/>
          <w:sz w:val="24"/>
          <w:szCs w:val="24"/>
          <w:highlight w:val="none"/>
        </w:rPr>
        <w:t>（以下简称“招标人”）批准并落实资金，组织本项目的相关招标工作，采购合同由</w:t>
      </w:r>
      <w:r>
        <w:rPr>
          <w:rFonts w:hint="eastAsia" w:ascii="仿宋" w:hAnsi="仿宋" w:eastAsia="仿宋" w:cs="仿宋"/>
          <w:b w:val="0"/>
          <w:bCs w:val="0"/>
          <w:color w:val="auto"/>
          <w:sz w:val="24"/>
          <w:szCs w:val="24"/>
          <w:highlight w:val="none"/>
          <w:u w:val="single"/>
          <w:lang w:eastAsia="zh-CN"/>
        </w:rPr>
        <w:t>中国人民财产保险股份有限公司宿州市分公司</w:t>
      </w:r>
      <w:r>
        <w:rPr>
          <w:rFonts w:hint="eastAsia" w:ascii="仿宋" w:hAnsi="仿宋" w:eastAsia="仿宋" w:cs="仿宋"/>
          <w:b w:val="0"/>
          <w:bCs w:val="0"/>
          <w:color w:val="auto"/>
          <w:sz w:val="24"/>
          <w:szCs w:val="24"/>
          <w:highlight w:val="none"/>
        </w:rPr>
        <w:t>（以下简称“人保</w:t>
      </w:r>
      <w:r>
        <w:rPr>
          <w:rFonts w:hint="eastAsia" w:ascii="仿宋" w:hAnsi="仿宋" w:eastAsia="仿宋" w:cs="仿宋"/>
          <w:b w:val="0"/>
          <w:bCs w:val="0"/>
          <w:color w:val="auto"/>
          <w:sz w:val="24"/>
          <w:szCs w:val="24"/>
          <w:highlight w:val="none"/>
          <w:lang w:val="en-US" w:eastAsia="zh-CN"/>
        </w:rPr>
        <w:t>财险宿州市分公司</w:t>
      </w:r>
      <w:r>
        <w:rPr>
          <w:rFonts w:hint="eastAsia" w:ascii="仿宋" w:hAnsi="仿宋" w:eastAsia="仿宋" w:cs="仿宋"/>
          <w:b w:val="0"/>
          <w:bCs w:val="0"/>
          <w:color w:val="auto"/>
          <w:sz w:val="24"/>
          <w:szCs w:val="24"/>
          <w:highlight w:val="none"/>
        </w:rPr>
        <w:t>”）根据中标结果与中标人签署。</w:t>
      </w:r>
      <w:bookmarkEnd w:id="11"/>
      <w:r>
        <w:rPr>
          <w:rFonts w:hint="eastAsia" w:ascii="仿宋" w:hAnsi="仿宋" w:eastAsia="仿宋" w:cs="仿宋"/>
          <w:b w:val="0"/>
          <w:bCs w:val="0"/>
          <w:color w:val="auto"/>
          <w:sz w:val="24"/>
          <w:szCs w:val="24"/>
          <w:highlight w:val="none"/>
        </w:rPr>
        <w:t>现委托</w:t>
      </w:r>
      <w:r>
        <w:rPr>
          <w:rFonts w:hint="eastAsia" w:ascii="仿宋" w:hAnsi="仿宋" w:eastAsia="仿宋" w:cs="仿宋"/>
          <w:b w:val="0"/>
          <w:bCs w:val="0"/>
          <w:color w:val="auto"/>
          <w:sz w:val="24"/>
          <w:szCs w:val="24"/>
          <w:highlight w:val="none"/>
          <w:u w:val="single"/>
          <w:lang w:val="en-US" w:eastAsia="zh-CN"/>
        </w:rPr>
        <w:t>公诚管理咨询有限公司</w:t>
      </w:r>
      <w:r>
        <w:rPr>
          <w:rFonts w:hint="eastAsia" w:ascii="仿宋" w:hAnsi="仿宋" w:eastAsia="仿宋" w:cs="仿宋"/>
          <w:b w:val="0"/>
          <w:bCs w:val="0"/>
          <w:color w:val="auto"/>
          <w:sz w:val="24"/>
          <w:szCs w:val="24"/>
          <w:highlight w:val="none"/>
          <w:u w:val="single"/>
        </w:rPr>
        <w:t xml:space="preserve"> </w:t>
      </w:r>
      <w:r>
        <w:rPr>
          <w:rFonts w:hint="eastAsia" w:ascii="仿宋" w:hAnsi="仿宋" w:eastAsia="仿宋" w:cs="仿宋"/>
          <w:b w:val="0"/>
          <w:bCs w:val="0"/>
          <w:color w:val="auto"/>
          <w:sz w:val="24"/>
          <w:szCs w:val="24"/>
          <w:highlight w:val="none"/>
        </w:rPr>
        <w:t>（以下简称“招标代理机构”）进行公开招标，有意向且具有提供标的物能力的潜在投标人（以下简称“投标人”）可前来</w:t>
      </w:r>
      <w:r>
        <w:rPr>
          <w:rFonts w:hint="eastAsia" w:ascii="仿宋" w:hAnsi="仿宋" w:eastAsia="仿宋" w:cs="仿宋"/>
          <w:color w:val="auto"/>
          <w:sz w:val="24"/>
          <w:szCs w:val="24"/>
          <w:highlight w:val="none"/>
        </w:rPr>
        <w:t>投标。</w:t>
      </w:r>
    </w:p>
    <w:p w14:paraId="2AC8EC15">
      <w:pPr>
        <w:pStyle w:val="2"/>
        <w:rPr>
          <w:rFonts w:hint="eastAsia" w:ascii="仿宋" w:hAnsi="仿宋" w:eastAsia="仿宋" w:cs="仿宋"/>
          <w:color w:val="auto"/>
          <w:szCs w:val="24"/>
          <w:highlight w:val="none"/>
        </w:rPr>
      </w:pPr>
      <w:bookmarkStart w:id="12" w:name="_Toc109124224"/>
      <w:bookmarkStart w:id="13" w:name="_Toc18478"/>
      <w:bookmarkStart w:id="14" w:name="_Toc65682914"/>
      <w:bookmarkStart w:id="15" w:name="_Toc3164"/>
      <w:r>
        <w:rPr>
          <w:rFonts w:hint="eastAsia" w:ascii="仿宋" w:hAnsi="仿宋" w:eastAsia="仿宋" w:cs="仿宋"/>
          <w:color w:val="auto"/>
          <w:szCs w:val="24"/>
          <w:highlight w:val="none"/>
        </w:rPr>
        <w:t>二、项目概况与招标范围</w:t>
      </w:r>
      <w:bookmarkEnd w:id="12"/>
      <w:bookmarkEnd w:id="13"/>
      <w:bookmarkEnd w:id="14"/>
      <w:bookmarkEnd w:id="15"/>
    </w:p>
    <w:p w14:paraId="1E99083B">
      <w:pPr>
        <w:keepNext w:val="0"/>
        <w:keepLines w:val="0"/>
        <w:pageBreakBefore w:val="0"/>
        <w:kinsoku/>
        <w:wordWrap/>
        <w:overflowPunct/>
        <w:topLinePunct w:val="0"/>
        <w:autoSpaceDE/>
        <w:autoSpaceDN/>
        <w:bidi w:val="0"/>
        <w:adjustRightInd/>
        <w:spacing w:line="360" w:lineRule="auto"/>
        <w:ind w:firstLine="480" w:firstLineChars="200"/>
        <w:textAlignment w:val="baseline"/>
        <w:rPr>
          <w:rFonts w:hint="eastAsia" w:ascii="仿宋" w:hAnsi="仿宋" w:eastAsia="仿宋" w:cs="仿宋"/>
          <w:b w:val="0"/>
          <w:bCs w:val="0"/>
          <w:color w:val="auto"/>
          <w:sz w:val="24"/>
          <w:szCs w:val="24"/>
          <w:highlight w:val="none"/>
        </w:rPr>
      </w:pPr>
      <w:bookmarkStart w:id="16" w:name="_Toc65682915"/>
      <w:bookmarkStart w:id="17" w:name="_Toc17299"/>
      <w:r>
        <w:rPr>
          <w:rFonts w:hint="eastAsia" w:ascii="仿宋" w:hAnsi="仿宋" w:eastAsia="仿宋" w:cs="仿宋"/>
          <w:color w:val="auto"/>
          <w:sz w:val="24"/>
          <w:szCs w:val="24"/>
          <w:highlight w:val="none"/>
        </w:rPr>
        <w:t>2.1项目名称：</w:t>
      </w:r>
      <w:r>
        <w:rPr>
          <w:rFonts w:hint="eastAsia" w:ascii="仿宋" w:hAnsi="仿宋" w:eastAsia="仿宋" w:cs="仿宋"/>
          <w:b w:val="0"/>
          <w:bCs w:val="0"/>
          <w:color w:val="auto"/>
          <w:sz w:val="24"/>
          <w:highlight w:val="none"/>
          <w:lang w:eastAsia="zh-CN"/>
        </w:rPr>
        <w:t>人保财险安徽省宿州市分公司车辆定点维修保养服务采购项目（二次）</w:t>
      </w:r>
      <w:r>
        <w:rPr>
          <w:rFonts w:hint="eastAsia" w:ascii="仿宋" w:hAnsi="仿宋" w:eastAsia="仿宋" w:cs="仿宋"/>
          <w:b w:val="0"/>
          <w:bCs w:val="0"/>
          <w:color w:val="auto"/>
          <w:sz w:val="24"/>
          <w:szCs w:val="24"/>
          <w:highlight w:val="none"/>
        </w:rPr>
        <w:t>。</w:t>
      </w:r>
    </w:p>
    <w:p w14:paraId="66ADB152">
      <w:pPr>
        <w:pStyle w:val="5"/>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b w:val="0"/>
          <w:bCs w:val="0"/>
          <w:color w:val="auto"/>
          <w:kern w:val="2"/>
          <w:sz w:val="24"/>
          <w:szCs w:val="21"/>
          <w:highlight w:val="none"/>
          <w:lang w:val="en-US" w:eastAsia="zh-CN" w:bidi="ar-SA"/>
        </w:rPr>
      </w:pPr>
      <w:r>
        <w:rPr>
          <w:rFonts w:hint="eastAsia" w:ascii="仿宋" w:hAnsi="仿宋" w:eastAsia="仿宋" w:cs="仿宋"/>
          <w:b w:val="0"/>
          <w:bCs w:val="0"/>
          <w:color w:val="auto"/>
          <w:sz w:val="24"/>
          <w:szCs w:val="24"/>
          <w:highlight w:val="none"/>
        </w:rPr>
        <w:t>2.2招标范围：</w:t>
      </w:r>
      <w:r>
        <w:rPr>
          <w:rFonts w:hint="eastAsia" w:ascii="仿宋" w:hAnsi="仿宋" w:eastAsia="仿宋" w:cs="仿宋"/>
          <w:color w:val="auto"/>
          <w:sz w:val="24"/>
          <w:szCs w:val="24"/>
          <w:highlight w:val="none"/>
        </w:rPr>
        <w:t>本项目拟通过公开招标方式选定</w:t>
      </w:r>
      <w:r>
        <w:rPr>
          <w:rFonts w:hint="eastAsia" w:ascii="仿宋" w:hAnsi="仿宋" w:eastAsia="仿宋" w:cs="仿宋"/>
          <w:color w:val="auto"/>
          <w:sz w:val="24"/>
          <w:szCs w:val="24"/>
          <w:highlight w:val="none"/>
          <w:lang w:val="en-US" w:eastAsia="zh-CN"/>
        </w:rPr>
        <w:t>2家供应商</w:t>
      </w:r>
      <w:r>
        <w:rPr>
          <w:rFonts w:hint="eastAsia" w:ascii="仿宋" w:hAnsi="仿宋" w:eastAsia="仿宋" w:cs="仿宋"/>
          <w:color w:val="auto"/>
          <w:sz w:val="24"/>
          <w:szCs w:val="24"/>
          <w:highlight w:val="none"/>
        </w:rPr>
        <w:t>，为招标人提供车辆维修保养服务</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其中小轿车、越野车及商务车系列合计38辆。2家供应商业务分配原则：入围后，招标人与2家供应商均签署合同，2家供应商按月轮流进行维修保养业务的分配。</w:t>
      </w:r>
    </w:p>
    <w:p w14:paraId="2182502B">
      <w:pPr>
        <w:pStyle w:val="5"/>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b w:val="0"/>
          <w:bCs w:val="0"/>
          <w:color w:val="auto"/>
          <w:kern w:val="2"/>
          <w:sz w:val="24"/>
          <w:szCs w:val="21"/>
          <w:highlight w:val="none"/>
          <w:lang w:val="en-US" w:eastAsia="zh-CN" w:bidi="ar-SA"/>
        </w:rPr>
      </w:pPr>
      <w:r>
        <w:rPr>
          <w:rFonts w:hint="eastAsia" w:ascii="仿宋" w:hAnsi="仿宋" w:eastAsia="仿宋" w:cs="仿宋"/>
          <w:b w:val="0"/>
          <w:bCs w:val="0"/>
          <w:color w:val="auto"/>
          <w:kern w:val="2"/>
          <w:sz w:val="24"/>
          <w:szCs w:val="21"/>
          <w:highlight w:val="none"/>
          <w:lang w:val="en-US" w:eastAsia="zh-CN" w:bidi="ar-SA"/>
        </w:rPr>
        <w:t>（1）车辆保养范围：小保养包括—更换机油机滤，空滤等日常检查；大保养包括—机油，变速箱油，三滤，火花塞， 刹车油，防冻液，积碳清洗等。</w:t>
      </w:r>
    </w:p>
    <w:p w14:paraId="7ACF3DFE">
      <w:pPr>
        <w:pStyle w:val="5"/>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b w:val="0"/>
          <w:bCs w:val="0"/>
          <w:color w:val="auto"/>
          <w:kern w:val="2"/>
          <w:sz w:val="24"/>
          <w:szCs w:val="21"/>
          <w:highlight w:val="none"/>
          <w:lang w:val="en-US" w:eastAsia="zh-CN" w:bidi="ar-SA"/>
        </w:rPr>
      </w:pPr>
      <w:r>
        <w:rPr>
          <w:rFonts w:hint="eastAsia" w:ascii="仿宋" w:hAnsi="仿宋" w:eastAsia="仿宋" w:cs="仿宋"/>
          <w:b w:val="0"/>
          <w:bCs w:val="0"/>
          <w:color w:val="auto"/>
          <w:kern w:val="2"/>
          <w:sz w:val="24"/>
          <w:szCs w:val="21"/>
          <w:highlight w:val="none"/>
          <w:lang w:val="en-US" w:eastAsia="zh-CN" w:bidi="ar-SA"/>
        </w:rPr>
        <w:t>（2）车辆维修范围：包括整车修理、总成修理、二级维护、 整车及各级维护和小修， 救援工作，并免费提供洗车、内饰清洗、补胎、救援、搭火、充电、检测等服务。</w:t>
      </w:r>
    </w:p>
    <w:p w14:paraId="33278500">
      <w:pPr>
        <w:pStyle w:val="5"/>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仿宋" w:hAnsi="仿宋" w:eastAsia="仿宋" w:cs="仿宋"/>
          <w:color w:val="auto"/>
          <w:kern w:val="0"/>
          <w:sz w:val="24"/>
          <w:szCs w:val="24"/>
          <w:highlight w:val="none"/>
          <w:lang w:bidi="ar"/>
        </w:rPr>
      </w:pPr>
      <w:r>
        <w:rPr>
          <w:rFonts w:hint="eastAsia" w:ascii="仿宋" w:hAnsi="仿宋" w:eastAsia="仿宋" w:cs="仿宋"/>
          <w:b w:val="0"/>
          <w:bCs w:val="0"/>
          <w:color w:val="auto"/>
          <w:kern w:val="2"/>
          <w:sz w:val="24"/>
          <w:szCs w:val="21"/>
          <w:highlight w:val="none"/>
          <w:lang w:val="en-US" w:eastAsia="zh-CN" w:bidi="ar-SA"/>
        </w:rPr>
        <w:t>具体内容及要求见招标文件第五章技术规范书。</w:t>
      </w:r>
    </w:p>
    <w:p w14:paraId="68868E8E">
      <w:pPr>
        <w:keepNext w:val="0"/>
        <w:keepLines w:val="0"/>
        <w:pageBreakBefore w:val="0"/>
        <w:kinsoku/>
        <w:wordWrap/>
        <w:overflowPunct/>
        <w:topLinePunct w:val="0"/>
        <w:autoSpaceDE/>
        <w:autoSpaceDN/>
        <w:bidi w:val="0"/>
        <w:adjustRightInd/>
        <w:spacing w:line="360" w:lineRule="auto"/>
        <w:ind w:firstLine="480" w:firstLineChars="200"/>
        <w:textAlignment w:val="baseline"/>
        <w:rPr>
          <w:rFonts w:hint="eastAsia" w:ascii="仿宋" w:hAnsi="仿宋" w:eastAsia="仿宋" w:cs="仿宋"/>
          <w:color w:val="auto"/>
          <w:sz w:val="24"/>
          <w:szCs w:val="24"/>
          <w:highlight w:val="none"/>
        </w:rPr>
      </w:pPr>
      <w:bookmarkStart w:id="18" w:name="_Hlk69456893"/>
      <w:r>
        <w:rPr>
          <w:rFonts w:hint="eastAsia" w:ascii="仿宋" w:hAnsi="仿宋" w:eastAsia="仿宋" w:cs="仿宋"/>
          <w:color w:val="auto"/>
          <w:sz w:val="24"/>
          <w:szCs w:val="24"/>
          <w:highlight w:val="none"/>
        </w:rPr>
        <w:t>2.3项目性质：</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w:t>
      </w:r>
    </w:p>
    <w:p w14:paraId="3EA7E63A">
      <w:pPr>
        <w:keepNext w:val="0"/>
        <w:keepLines w:val="0"/>
        <w:pageBreakBefore w:val="0"/>
        <w:kinsoku/>
        <w:wordWrap/>
        <w:overflowPunct/>
        <w:topLinePunct w:val="0"/>
        <w:autoSpaceDE/>
        <w:autoSpaceDN/>
        <w:bidi w:val="0"/>
        <w:adjustRightInd/>
        <w:spacing w:line="360" w:lineRule="auto"/>
        <w:ind w:firstLine="480" w:firstLineChars="200"/>
        <w:textAlignment w:val="baseline"/>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2.4标包划分：本项目不划分标包</w:t>
      </w:r>
      <w:r>
        <w:rPr>
          <w:rFonts w:hint="eastAsia" w:ascii="仿宋" w:hAnsi="仿宋" w:eastAsia="仿宋" w:cs="仿宋"/>
          <w:color w:val="auto"/>
          <w:sz w:val="24"/>
          <w:szCs w:val="24"/>
          <w:highlight w:val="none"/>
          <w:lang w:eastAsia="zh-CN"/>
        </w:rPr>
        <w:t>。</w:t>
      </w:r>
    </w:p>
    <w:p w14:paraId="14F70274">
      <w:pPr>
        <w:keepNext w:val="0"/>
        <w:keepLines w:val="0"/>
        <w:pageBreakBefore w:val="0"/>
        <w:kinsoku/>
        <w:wordWrap/>
        <w:overflowPunct/>
        <w:topLinePunct w:val="0"/>
        <w:autoSpaceDE/>
        <w:autoSpaceDN/>
        <w:bidi w:val="0"/>
        <w:adjustRightInd/>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2.5</w:t>
      </w:r>
      <w:r>
        <w:rPr>
          <w:rFonts w:hint="eastAsia" w:ascii="仿宋" w:hAnsi="仿宋" w:eastAsia="仿宋" w:cs="仿宋"/>
          <w:color w:val="auto"/>
          <w:sz w:val="24"/>
          <w:szCs w:val="24"/>
          <w:highlight w:val="none"/>
          <w:lang w:val="en-US" w:eastAsia="zh-CN"/>
        </w:rPr>
        <w:t>服务期限：3年。</w:t>
      </w:r>
    </w:p>
    <w:p w14:paraId="08F8B641">
      <w:pPr>
        <w:keepNext w:val="0"/>
        <w:keepLines w:val="0"/>
        <w:pageBreakBefore w:val="0"/>
        <w:kinsoku/>
        <w:wordWrap/>
        <w:overflowPunct/>
        <w:topLinePunct w:val="0"/>
        <w:autoSpaceDE/>
        <w:autoSpaceDN/>
        <w:bidi w:val="0"/>
        <w:adjustRightInd/>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2.6</w:t>
      </w:r>
      <w:r>
        <w:rPr>
          <w:rFonts w:hint="eastAsia" w:ascii="仿宋" w:hAnsi="仿宋" w:eastAsia="仿宋" w:cs="仿宋"/>
          <w:color w:val="auto"/>
          <w:sz w:val="24"/>
          <w:szCs w:val="24"/>
          <w:highlight w:val="none"/>
          <w:lang w:val="en-US" w:eastAsia="zh-CN"/>
        </w:rPr>
        <w:t>服务</w:t>
      </w:r>
      <w:r>
        <w:rPr>
          <w:rFonts w:hint="eastAsia" w:ascii="仿宋" w:hAnsi="仿宋" w:eastAsia="仿宋" w:cs="仿宋"/>
          <w:color w:val="auto"/>
          <w:sz w:val="24"/>
          <w:szCs w:val="24"/>
          <w:highlight w:val="none"/>
        </w:rPr>
        <w:t>地点：</w:t>
      </w:r>
      <w:r>
        <w:rPr>
          <w:rFonts w:hint="eastAsia" w:ascii="仿宋" w:hAnsi="仿宋" w:eastAsia="仿宋" w:cs="仿宋"/>
          <w:color w:val="auto"/>
          <w:sz w:val="24"/>
          <w:szCs w:val="24"/>
          <w:highlight w:val="none"/>
          <w:lang w:val="en-US" w:eastAsia="zh-CN"/>
        </w:rPr>
        <w:t>安徽省宿州市埇桥区、砀山县、萧县、灵璧县、泗县</w:t>
      </w:r>
      <w:r>
        <w:rPr>
          <w:rFonts w:hint="eastAsia" w:ascii="仿宋" w:hAnsi="仿宋" w:eastAsia="仿宋" w:cs="仿宋"/>
          <w:color w:val="auto"/>
          <w:sz w:val="24"/>
          <w:szCs w:val="24"/>
          <w:highlight w:val="none"/>
        </w:rPr>
        <w:t>。</w:t>
      </w:r>
      <w:bookmarkEnd w:id="18"/>
    </w:p>
    <w:p w14:paraId="2E7084AB">
      <w:pPr>
        <w:keepNext w:val="0"/>
        <w:keepLines w:val="0"/>
        <w:pageBreakBefore w:val="0"/>
        <w:kinsoku/>
        <w:wordWrap/>
        <w:overflowPunct/>
        <w:topLinePunct w:val="0"/>
        <w:autoSpaceDE/>
        <w:autoSpaceDN/>
        <w:bidi w:val="0"/>
        <w:adjustRightInd/>
        <w:spacing w:line="360" w:lineRule="auto"/>
        <w:ind w:firstLine="480" w:firstLineChars="200"/>
        <w:textAlignment w:val="baseline"/>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2.7项目预算：48万元（平均每年16万元）本项目最高支付金额不得超过预算金额。</w:t>
      </w:r>
    </w:p>
    <w:p w14:paraId="6BB2D259">
      <w:pPr>
        <w:pStyle w:val="5"/>
        <w:keepNext w:val="0"/>
        <w:keepLines w:val="0"/>
        <w:pageBreakBefore w:val="0"/>
        <w:kinsoku/>
        <w:wordWrap/>
        <w:overflowPunct/>
        <w:topLinePunct w:val="0"/>
        <w:autoSpaceDE/>
        <w:autoSpaceDN/>
        <w:bidi w:val="0"/>
        <w:adjustRightInd/>
        <w:snapToGrid w:val="0"/>
        <w:spacing w:line="360" w:lineRule="auto"/>
        <w:ind w:firstLine="480" w:firstLineChars="200"/>
        <w:rPr>
          <w:rFonts w:hint="eastAsia" w:ascii="仿宋" w:hAnsi="仿宋" w:eastAsia="仿宋" w:cs="仿宋"/>
          <w:color w:val="auto"/>
          <w:kern w:val="2"/>
          <w:sz w:val="24"/>
          <w:szCs w:val="21"/>
          <w:highlight w:val="none"/>
          <w:lang w:val="en-US" w:eastAsia="zh-CN" w:bidi="ar-SA"/>
        </w:rPr>
      </w:pPr>
      <w:r>
        <w:rPr>
          <w:rFonts w:hint="eastAsia" w:ascii="仿宋" w:hAnsi="仿宋" w:eastAsia="仿宋" w:cs="仿宋"/>
          <w:color w:val="auto"/>
          <w:kern w:val="2"/>
          <w:sz w:val="24"/>
          <w:szCs w:val="21"/>
          <w:highlight w:val="none"/>
          <w:lang w:val="en-US" w:eastAsia="zh-CN" w:bidi="ar-SA"/>
        </w:rPr>
        <w:t>2.8★最高限价：本项目采用分项折扣率（含税）报价，项目一不得超过100%（折扣率，含税）；项目二不得超过80%（折扣率，含税），否则将被视为无效报价。</w:t>
      </w:r>
    </w:p>
    <w:p w14:paraId="0100E1BC">
      <w:pPr>
        <w:pStyle w:val="2"/>
        <w:rPr>
          <w:rFonts w:hint="eastAsia" w:ascii="仿宋" w:hAnsi="仿宋" w:eastAsia="仿宋" w:cs="仿宋"/>
          <w:color w:val="auto"/>
          <w:szCs w:val="24"/>
          <w:highlight w:val="none"/>
        </w:rPr>
      </w:pPr>
      <w:bookmarkStart w:id="19" w:name="_Toc224"/>
      <w:bookmarkStart w:id="20" w:name="_Toc109124225"/>
      <w:r>
        <w:rPr>
          <w:rFonts w:hint="eastAsia" w:ascii="仿宋" w:hAnsi="仿宋" w:eastAsia="仿宋" w:cs="仿宋"/>
          <w:color w:val="auto"/>
          <w:szCs w:val="24"/>
          <w:highlight w:val="none"/>
        </w:rPr>
        <w:t>三、投标人资格要求</w:t>
      </w:r>
      <w:bookmarkEnd w:id="16"/>
      <w:bookmarkEnd w:id="17"/>
      <w:bookmarkEnd w:id="19"/>
      <w:bookmarkEnd w:id="20"/>
    </w:p>
    <w:p w14:paraId="48A25308">
      <w:pPr>
        <w:pStyle w:val="4"/>
        <w:ind w:firstLine="480" w:firstLineChars="200"/>
        <w:rPr>
          <w:rFonts w:hint="eastAsia" w:ascii="仿宋" w:hAnsi="仿宋" w:eastAsia="仿宋" w:cs="仿宋"/>
          <w:color w:val="auto"/>
          <w:szCs w:val="21"/>
          <w:highlight w:val="none"/>
        </w:rPr>
      </w:pPr>
      <w:r>
        <w:rPr>
          <w:rFonts w:hint="eastAsia" w:ascii="仿宋" w:hAnsi="仿宋" w:eastAsia="仿宋" w:cs="仿宋"/>
          <w:color w:val="auto"/>
          <w:sz w:val="24"/>
          <w:szCs w:val="24"/>
          <w:highlight w:val="none"/>
        </w:rPr>
        <w:t>3.1</w:t>
      </w:r>
      <w:r>
        <w:rPr>
          <w:rFonts w:hint="eastAsia" w:ascii="仿宋" w:hAnsi="仿宋" w:eastAsia="仿宋" w:cs="仿宋"/>
          <w:b/>
          <w:bCs/>
          <w:color w:val="auto"/>
          <w:sz w:val="24"/>
          <w:szCs w:val="24"/>
          <w:highlight w:val="none"/>
        </w:rPr>
        <w:t>在中华人民共和国境内依法登记的法人或其他组织，</w:t>
      </w:r>
      <w:r>
        <w:rPr>
          <w:rFonts w:hint="eastAsia" w:ascii="仿宋" w:hAnsi="仿宋" w:eastAsia="仿宋" w:cs="仿宋"/>
          <w:b/>
          <w:color w:val="auto"/>
          <w:sz w:val="24"/>
          <w:szCs w:val="24"/>
          <w:highlight w:val="none"/>
        </w:rPr>
        <w:t>具有独立承担民事责任的能力</w:t>
      </w:r>
      <w:r>
        <w:rPr>
          <w:rFonts w:hint="eastAsia" w:ascii="仿宋" w:hAnsi="仿宋" w:eastAsia="仿宋" w:cs="仿宋"/>
          <w:color w:val="auto"/>
          <w:sz w:val="24"/>
          <w:szCs w:val="24"/>
          <w:highlight w:val="none"/>
        </w:rPr>
        <w:t>，投标人如为企业法人，须提供企业法人营业执照</w:t>
      </w:r>
      <w:r>
        <w:rPr>
          <w:rFonts w:hint="eastAsia" w:ascii="仿宋" w:hAnsi="仿宋" w:eastAsia="仿宋" w:cs="仿宋"/>
          <w:color w:val="auto"/>
          <w:sz w:val="24"/>
          <w:highlight w:val="none"/>
        </w:rPr>
        <w:t>（复印件）</w:t>
      </w:r>
      <w:r>
        <w:rPr>
          <w:rFonts w:hint="eastAsia" w:ascii="仿宋" w:hAnsi="仿宋" w:eastAsia="仿宋" w:cs="仿宋"/>
          <w:color w:val="auto"/>
          <w:sz w:val="24"/>
          <w:szCs w:val="24"/>
          <w:highlight w:val="none"/>
        </w:rPr>
        <w:t>；投标人如为事业单位或其他组织，须提供事业单位法人证书或登记证或组织机构代码证或其他有效证明文件（复印件）。</w:t>
      </w:r>
    </w:p>
    <w:p w14:paraId="07C36986">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3.2</w:t>
      </w:r>
      <w:r>
        <w:rPr>
          <w:rFonts w:hint="eastAsia" w:ascii="仿宋" w:hAnsi="仿宋" w:eastAsia="仿宋" w:cs="仿宋"/>
          <w:b/>
          <w:color w:val="auto"/>
          <w:sz w:val="24"/>
          <w:szCs w:val="24"/>
          <w:highlight w:val="none"/>
        </w:rPr>
        <w:t>具有良好的商业信誉和健全的财务会计制度</w:t>
      </w:r>
      <w:r>
        <w:rPr>
          <w:rFonts w:hint="eastAsia" w:ascii="仿宋" w:hAnsi="仿宋" w:eastAsia="仿宋" w:cs="仿宋"/>
          <w:color w:val="auto"/>
          <w:sz w:val="24"/>
          <w:szCs w:val="24"/>
          <w:highlight w:val="none"/>
        </w:rPr>
        <w:t>，需提供202</w:t>
      </w: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年度经会计师事务所或审计机构审计的财务审计报告及财务报表（至少包含会计师事务所或审计机构签章页、资产负债表、现金流量表、损益表/利润表）或开标日前6个月内开具的银行资信证明。</w:t>
      </w:r>
    </w:p>
    <w:p w14:paraId="2C107D35">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3.3 </w:t>
      </w:r>
      <w:r>
        <w:rPr>
          <w:rFonts w:hint="eastAsia" w:ascii="仿宋" w:hAnsi="仿宋" w:eastAsia="仿宋" w:cs="仿宋"/>
          <w:b/>
          <w:bCs/>
          <w:color w:val="auto"/>
          <w:sz w:val="24"/>
          <w:szCs w:val="24"/>
          <w:highlight w:val="none"/>
        </w:rPr>
        <w:t>投标人应具有履行合同所必需的设备和专业技术能力</w:t>
      </w:r>
      <w:r>
        <w:rPr>
          <w:rFonts w:hint="eastAsia" w:ascii="仿宋" w:hAnsi="仿宋" w:eastAsia="仿宋" w:cs="仿宋"/>
          <w:color w:val="auto"/>
          <w:sz w:val="24"/>
          <w:szCs w:val="24"/>
          <w:highlight w:val="none"/>
        </w:rPr>
        <w:t>，投标人需具有行业三类或以上汽车修理资质。</w:t>
      </w:r>
    </w:p>
    <w:p w14:paraId="1AFB4178">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3.4</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b/>
          <w:bCs/>
          <w:color w:val="auto"/>
          <w:sz w:val="24"/>
          <w:szCs w:val="24"/>
          <w:highlight w:val="none"/>
          <w:lang w:val="en-US" w:eastAsia="zh-CN"/>
        </w:rPr>
        <w:t>具有依法缴纳税收和社会保障资金的良好记录</w:t>
      </w:r>
      <w:r>
        <w:rPr>
          <w:rFonts w:hint="eastAsia" w:ascii="仿宋" w:hAnsi="仿宋" w:eastAsia="仿宋" w:cs="仿宋"/>
          <w:color w:val="auto"/>
          <w:sz w:val="24"/>
          <w:szCs w:val="24"/>
          <w:highlight w:val="none"/>
          <w:lang w:val="en-US" w:eastAsia="zh-CN"/>
        </w:rPr>
        <w:t>，提供近6个月任意一个月的税收和社会保障资金缴纳凭证</w:t>
      </w:r>
      <w:r>
        <w:rPr>
          <w:rFonts w:hint="eastAsia" w:ascii="仿宋" w:hAnsi="仿宋" w:eastAsia="仿宋" w:cs="仿宋"/>
          <w:color w:val="auto"/>
          <w:sz w:val="24"/>
          <w:szCs w:val="24"/>
          <w:highlight w:val="none"/>
        </w:rPr>
        <w:t>。</w:t>
      </w:r>
    </w:p>
    <w:p w14:paraId="72BB3E80">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3.5</w:t>
      </w:r>
      <w:r>
        <w:rPr>
          <w:rFonts w:hint="eastAsia" w:ascii="仿宋" w:hAnsi="仿宋" w:eastAsia="仿宋" w:cs="仿宋"/>
          <w:b/>
          <w:color w:val="auto"/>
          <w:sz w:val="24"/>
          <w:szCs w:val="24"/>
          <w:highlight w:val="none"/>
        </w:rPr>
        <w:t>投标人应经营状况良好，且近三年内（</w:t>
      </w:r>
      <w:bookmarkStart w:id="21" w:name="OLE_LINK1"/>
      <w:r>
        <w:rPr>
          <w:rFonts w:hint="eastAsia" w:ascii="仿宋" w:hAnsi="仿宋" w:eastAsia="仿宋" w:cs="仿宋"/>
          <w:b/>
          <w:color w:val="auto"/>
          <w:sz w:val="24"/>
          <w:szCs w:val="24"/>
          <w:highlight w:val="none"/>
          <w:lang w:val="en-US" w:eastAsia="zh-CN"/>
        </w:rPr>
        <w:t>自本项目投标文件递交截止时间往前追溯</w:t>
      </w:r>
      <w:bookmarkEnd w:id="21"/>
      <w:r>
        <w:rPr>
          <w:rFonts w:hint="eastAsia" w:ascii="仿宋" w:hAnsi="仿宋" w:eastAsia="仿宋" w:cs="仿宋"/>
          <w:b/>
          <w:color w:val="auto"/>
          <w:sz w:val="24"/>
          <w:szCs w:val="24"/>
          <w:highlight w:val="none"/>
        </w:rPr>
        <w:t>）无违法违规记录。</w:t>
      </w:r>
      <w:r>
        <w:rPr>
          <w:rFonts w:hint="eastAsia" w:ascii="仿宋" w:hAnsi="仿宋" w:eastAsia="仿宋" w:cs="仿宋"/>
          <w:color w:val="auto"/>
          <w:sz w:val="24"/>
          <w:szCs w:val="24"/>
          <w:highlight w:val="none"/>
        </w:rPr>
        <w:t>违法违规记录是指被“信用中国”列入失信被执行人、重大税收违法失信主体、政府采购严重违法失信行为记录名单。投标人需提供自招标公告发布之日至投标截止之日期间对以上三项内容的查询截图。</w:t>
      </w:r>
    </w:p>
    <w:p w14:paraId="51DD2A13">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信用中国查询网址：https</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//www.creditchina.gov.cn/xinyongfuwu/?navPage=5</w:t>
      </w:r>
    </w:p>
    <w:p w14:paraId="27F5ABDD">
      <w:pPr>
        <w:spacing w:line="360" w:lineRule="auto"/>
        <w:ind w:firstLine="480" w:firstLineChars="200"/>
        <w:textAlignment w:val="baseline"/>
        <w:rPr>
          <w:rFonts w:hint="eastAsia" w:ascii="仿宋" w:hAnsi="仿宋" w:eastAsia="仿宋" w:cs="仿宋"/>
          <w:b/>
          <w:color w:val="auto"/>
          <w:sz w:val="24"/>
          <w:szCs w:val="24"/>
          <w:highlight w:val="none"/>
        </w:rPr>
      </w:pPr>
      <w:r>
        <w:rPr>
          <w:rFonts w:hint="eastAsia" w:ascii="仿宋" w:hAnsi="仿宋" w:eastAsia="仿宋" w:cs="仿宋"/>
          <w:color w:val="auto"/>
          <w:sz w:val="24"/>
          <w:szCs w:val="24"/>
          <w:highlight w:val="none"/>
        </w:rPr>
        <w:t xml:space="preserve">3.6 </w:t>
      </w:r>
      <w:r>
        <w:rPr>
          <w:rFonts w:hint="eastAsia" w:ascii="仿宋" w:hAnsi="仿宋" w:eastAsia="仿宋" w:cs="仿宋"/>
          <w:b/>
          <w:color w:val="auto"/>
          <w:sz w:val="24"/>
          <w:szCs w:val="24"/>
          <w:highlight w:val="none"/>
        </w:rPr>
        <w:t>严禁列入招标人及其所隶属的中国人民保险各级机构的供应商黑名单且在禁入期内的供应商参与采购活动。</w:t>
      </w:r>
    </w:p>
    <w:p w14:paraId="2F23C170">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3.7单位负责人为同一人或存在控股、管理关系的不同单位，不得参加同一标段/标包投标或未划分标段/标包的同一招标项目投标，需填写《投标人控股及管理关系情况申报表》。</w:t>
      </w:r>
    </w:p>
    <w:p w14:paraId="0ADEA7F9">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w:t>
      </w:r>
      <w:r>
        <w:rPr>
          <w:rFonts w:hint="eastAsia" w:ascii="仿宋" w:hAnsi="仿宋" w:eastAsia="仿宋" w:cs="仿宋"/>
          <w:color w:val="auto"/>
          <w:sz w:val="24"/>
          <w:szCs w:val="24"/>
          <w:highlight w:val="none"/>
          <w:lang w:val="en-US" w:eastAsia="zh-CN"/>
        </w:rPr>
        <w:t>8</w:t>
      </w:r>
      <w:r>
        <w:rPr>
          <w:rFonts w:hint="eastAsia" w:ascii="仿宋" w:hAnsi="仿宋" w:eastAsia="仿宋" w:cs="仿宋"/>
          <w:color w:val="auto"/>
          <w:sz w:val="24"/>
          <w:szCs w:val="24"/>
          <w:highlight w:val="none"/>
        </w:rPr>
        <w:t xml:space="preserve"> 本项目不接受联合体投标，供应商不得将其承包的服务转包、分包至其他公司。</w:t>
      </w:r>
    </w:p>
    <w:p w14:paraId="70EAC64E">
      <w:pPr>
        <w:pStyle w:val="2"/>
        <w:rPr>
          <w:rFonts w:hint="eastAsia" w:ascii="仿宋" w:hAnsi="仿宋" w:eastAsia="仿宋" w:cs="仿宋"/>
          <w:color w:val="auto"/>
          <w:highlight w:val="none"/>
        </w:rPr>
      </w:pPr>
      <w:bookmarkStart w:id="22" w:name="_Toc109124226"/>
      <w:bookmarkStart w:id="23" w:name="_Toc21224"/>
      <w:bookmarkStart w:id="24" w:name="_Toc65682916"/>
      <w:bookmarkStart w:id="25" w:name="_Toc29960"/>
      <w:r>
        <w:rPr>
          <w:rFonts w:hint="eastAsia" w:ascii="仿宋" w:hAnsi="仿宋" w:eastAsia="仿宋" w:cs="仿宋"/>
          <w:color w:val="auto"/>
          <w:highlight w:val="none"/>
        </w:rPr>
        <w:t>四、资格审查方法</w:t>
      </w:r>
      <w:bookmarkEnd w:id="22"/>
      <w:bookmarkEnd w:id="23"/>
      <w:bookmarkEnd w:id="24"/>
      <w:bookmarkEnd w:id="25"/>
    </w:p>
    <w:p w14:paraId="08835BE3">
      <w:pPr>
        <w:spacing w:line="360" w:lineRule="auto"/>
        <w:ind w:firstLine="480" w:firstLineChars="200"/>
        <w:textAlignment w:val="baseline"/>
        <w:rPr>
          <w:rFonts w:hint="eastAsia" w:ascii="仿宋" w:hAnsi="仿宋" w:eastAsia="仿宋" w:cs="仿宋"/>
          <w:color w:val="auto"/>
          <w:sz w:val="24"/>
          <w:szCs w:val="24"/>
          <w:highlight w:val="none"/>
        </w:rPr>
      </w:pPr>
      <w:bookmarkStart w:id="26" w:name="_Toc65682917"/>
      <w:bookmarkStart w:id="27" w:name="_Toc32460"/>
      <w:r>
        <w:rPr>
          <w:rFonts w:hint="eastAsia" w:ascii="仿宋" w:hAnsi="仿宋" w:eastAsia="仿宋" w:cs="仿宋"/>
          <w:color w:val="auto"/>
          <w:sz w:val="24"/>
          <w:szCs w:val="24"/>
          <w:highlight w:val="none"/>
        </w:rPr>
        <w:t>本项目将进行资格后审，资格审查方法为合格制，资格审查标准和内容见招标文件第三章“评标办法”。未通过资格后审的投标人，投标将被否决。</w:t>
      </w:r>
    </w:p>
    <w:p w14:paraId="1413F59F">
      <w:pPr>
        <w:pStyle w:val="2"/>
        <w:rPr>
          <w:rFonts w:hint="eastAsia" w:ascii="仿宋" w:hAnsi="仿宋" w:eastAsia="仿宋" w:cs="仿宋"/>
          <w:color w:val="auto"/>
          <w:szCs w:val="24"/>
          <w:highlight w:val="none"/>
        </w:rPr>
      </w:pPr>
      <w:bookmarkStart w:id="28" w:name="_Toc25512"/>
      <w:bookmarkStart w:id="29" w:name="_Toc109124227"/>
      <w:r>
        <w:rPr>
          <w:rFonts w:hint="eastAsia" w:ascii="仿宋" w:hAnsi="仿宋" w:eastAsia="仿宋" w:cs="仿宋"/>
          <w:color w:val="auto"/>
          <w:szCs w:val="24"/>
          <w:highlight w:val="none"/>
        </w:rPr>
        <w:t>五、招标文件的获取</w:t>
      </w:r>
      <w:bookmarkEnd w:id="26"/>
      <w:bookmarkEnd w:id="27"/>
      <w:bookmarkEnd w:id="28"/>
      <w:bookmarkEnd w:id="29"/>
    </w:p>
    <w:p w14:paraId="09869B13">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5.1凡有意参加投标者，请于</w:t>
      </w:r>
      <w:r>
        <w:rPr>
          <w:rFonts w:hint="eastAsia" w:ascii="仿宋" w:hAnsi="仿宋" w:eastAsia="仿宋" w:cs="仿宋"/>
          <w:b/>
          <w:bCs/>
          <w:color w:val="0000FF"/>
          <w:sz w:val="24"/>
          <w:highlight w:val="none"/>
          <w:u w:val="single"/>
        </w:rPr>
        <w:t>202</w:t>
      </w:r>
      <w:r>
        <w:rPr>
          <w:rFonts w:hint="eastAsia" w:ascii="仿宋" w:hAnsi="仿宋" w:eastAsia="仿宋" w:cs="仿宋"/>
          <w:b/>
          <w:bCs/>
          <w:color w:val="0000FF"/>
          <w:sz w:val="24"/>
          <w:highlight w:val="none"/>
          <w:u w:val="single"/>
          <w:lang w:val="en-US" w:eastAsia="zh-CN"/>
        </w:rPr>
        <w:t>5</w:t>
      </w:r>
      <w:r>
        <w:rPr>
          <w:rFonts w:hint="eastAsia" w:ascii="仿宋" w:hAnsi="仿宋" w:eastAsia="仿宋" w:cs="仿宋"/>
          <w:b/>
          <w:bCs/>
          <w:color w:val="0000FF"/>
          <w:sz w:val="24"/>
          <w:highlight w:val="none"/>
          <w:u w:val="single"/>
        </w:rPr>
        <w:t>年</w:t>
      </w:r>
      <w:r>
        <w:rPr>
          <w:rFonts w:hint="eastAsia" w:ascii="仿宋" w:hAnsi="仿宋" w:eastAsia="仿宋" w:cs="仿宋"/>
          <w:b/>
          <w:bCs/>
          <w:color w:val="0000FF"/>
          <w:sz w:val="24"/>
          <w:highlight w:val="none"/>
          <w:u w:val="single"/>
          <w:lang w:val="en-US" w:eastAsia="zh-CN"/>
        </w:rPr>
        <w:t>12</w:t>
      </w:r>
      <w:r>
        <w:rPr>
          <w:rFonts w:hint="eastAsia" w:ascii="仿宋" w:hAnsi="仿宋" w:eastAsia="仿宋" w:cs="仿宋"/>
          <w:b/>
          <w:bCs/>
          <w:color w:val="0000FF"/>
          <w:sz w:val="24"/>
          <w:highlight w:val="none"/>
          <w:u w:val="single"/>
        </w:rPr>
        <w:t>月</w:t>
      </w:r>
      <w:r>
        <w:rPr>
          <w:rFonts w:hint="eastAsia" w:ascii="仿宋" w:hAnsi="仿宋" w:eastAsia="仿宋" w:cs="仿宋"/>
          <w:b/>
          <w:bCs/>
          <w:color w:val="0000FF"/>
          <w:sz w:val="24"/>
          <w:highlight w:val="none"/>
          <w:u w:val="single"/>
          <w:lang w:val="en-US" w:eastAsia="zh-CN"/>
        </w:rPr>
        <w:t>05</w:t>
      </w:r>
      <w:r>
        <w:rPr>
          <w:rFonts w:hint="eastAsia" w:ascii="仿宋" w:hAnsi="仿宋" w:eastAsia="仿宋" w:cs="仿宋"/>
          <w:b/>
          <w:bCs/>
          <w:color w:val="0000FF"/>
          <w:sz w:val="24"/>
          <w:highlight w:val="none"/>
          <w:u w:val="single"/>
        </w:rPr>
        <w:t>日至</w:t>
      </w:r>
      <w:r>
        <w:rPr>
          <w:rFonts w:hint="eastAsia" w:ascii="仿宋" w:hAnsi="仿宋" w:eastAsia="仿宋" w:cs="仿宋"/>
          <w:b/>
          <w:bCs/>
          <w:color w:val="0000FF"/>
          <w:sz w:val="24"/>
          <w:highlight w:val="none"/>
          <w:u w:val="single"/>
          <w:lang w:val="en-US" w:eastAsia="zh-CN"/>
        </w:rPr>
        <w:t>2</w:t>
      </w:r>
      <w:r>
        <w:rPr>
          <w:rFonts w:hint="eastAsia" w:ascii="仿宋" w:hAnsi="仿宋" w:eastAsia="仿宋" w:cs="仿宋"/>
          <w:b/>
          <w:bCs/>
          <w:color w:val="0000FF"/>
          <w:sz w:val="24"/>
          <w:highlight w:val="none"/>
          <w:u w:val="single"/>
        </w:rPr>
        <w:t>02</w:t>
      </w:r>
      <w:r>
        <w:rPr>
          <w:rFonts w:hint="eastAsia" w:ascii="仿宋" w:hAnsi="仿宋" w:eastAsia="仿宋" w:cs="仿宋"/>
          <w:b/>
          <w:bCs/>
          <w:color w:val="0000FF"/>
          <w:sz w:val="24"/>
          <w:highlight w:val="none"/>
          <w:u w:val="single"/>
          <w:lang w:val="en-US" w:eastAsia="zh-CN"/>
        </w:rPr>
        <w:t>5</w:t>
      </w:r>
      <w:r>
        <w:rPr>
          <w:rFonts w:hint="eastAsia" w:ascii="仿宋" w:hAnsi="仿宋" w:eastAsia="仿宋" w:cs="仿宋"/>
          <w:b/>
          <w:bCs/>
          <w:color w:val="0000FF"/>
          <w:sz w:val="24"/>
          <w:highlight w:val="none"/>
          <w:u w:val="single"/>
        </w:rPr>
        <w:t>年</w:t>
      </w:r>
      <w:r>
        <w:rPr>
          <w:rFonts w:hint="eastAsia" w:ascii="仿宋" w:hAnsi="仿宋" w:eastAsia="仿宋" w:cs="仿宋"/>
          <w:b/>
          <w:bCs/>
          <w:color w:val="0000FF"/>
          <w:sz w:val="24"/>
          <w:highlight w:val="none"/>
          <w:u w:val="single"/>
          <w:lang w:val="en-US" w:eastAsia="zh-CN"/>
        </w:rPr>
        <w:t>12</w:t>
      </w:r>
      <w:r>
        <w:rPr>
          <w:rFonts w:hint="eastAsia" w:ascii="仿宋" w:hAnsi="仿宋" w:eastAsia="仿宋" w:cs="仿宋"/>
          <w:b/>
          <w:bCs/>
          <w:color w:val="0000FF"/>
          <w:sz w:val="24"/>
          <w:highlight w:val="none"/>
          <w:u w:val="single"/>
        </w:rPr>
        <w:t>月</w:t>
      </w:r>
      <w:r>
        <w:rPr>
          <w:rFonts w:hint="eastAsia" w:ascii="仿宋" w:hAnsi="仿宋" w:eastAsia="仿宋" w:cs="仿宋"/>
          <w:b/>
          <w:bCs/>
          <w:color w:val="0000FF"/>
          <w:sz w:val="24"/>
          <w:highlight w:val="none"/>
          <w:u w:val="single"/>
          <w:lang w:val="en-US" w:eastAsia="zh-CN"/>
        </w:rPr>
        <w:t>12</w:t>
      </w:r>
      <w:r>
        <w:rPr>
          <w:rFonts w:hint="eastAsia" w:ascii="仿宋" w:hAnsi="仿宋" w:eastAsia="仿宋" w:cs="仿宋"/>
          <w:b/>
          <w:bCs/>
          <w:color w:val="0000FF"/>
          <w:sz w:val="24"/>
          <w:highlight w:val="none"/>
          <w:u w:val="single"/>
        </w:rPr>
        <w:t>日</w:t>
      </w:r>
      <w:r>
        <w:rPr>
          <w:rFonts w:hint="eastAsia" w:ascii="仿宋" w:hAnsi="仿宋" w:eastAsia="仿宋" w:cs="仿宋"/>
          <w:color w:val="auto"/>
          <w:sz w:val="24"/>
          <w:highlight w:val="none"/>
        </w:rPr>
        <w:t>，登录</w:t>
      </w:r>
      <w:r>
        <w:rPr>
          <w:rFonts w:hint="eastAsia" w:ascii="仿宋" w:hAnsi="仿宋" w:eastAsia="仿宋" w:cs="仿宋"/>
          <w:color w:val="auto"/>
          <w:sz w:val="24"/>
          <w:highlight w:val="none"/>
          <w:u w:val="single"/>
        </w:rPr>
        <w:t>诚E招电子采购交易平台（https</w:t>
      </w:r>
      <w:r>
        <w:rPr>
          <w:rFonts w:hint="eastAsia" w:ascii="仿宋" w:hAnsi="仿宋" w:eastAsia="仿宋" w:cs="仿宋"/>
          <w:color w:val="auto"/>
          <w:sz w:val="24"/>
          <w:highlight w:val="none"/>
          <w:u w:val="single"/>
          <w:lang w:eastAsia="zh-CN"/>
        </w:rPr>
        <w:t>：</w:t>
      </w:r>
      <w:r>
        <w:rPr>
          <w:rFonts w:hint="eastAsia" w:ascii="仿宋" w:hAnsi="仿宋" w:eastAsia="仿宋" w:cs="仿宋"/>
          <w:color w:val="auto"/>
          <w:sz w:val="24"/>
          <w:highlight w:val="none"/>
          <w:u w:val="single"/>
        </w:rPr>
        <w:t>//www.chengezhao.com/）</w:t>
      </w:r>
      <w:r>
        <w:rPr>
          <w:rFonts w:hint="eastAsia" w:ascii="仿宋" w:hAnsi="仿宋" w:eastAsia="仿宋" w:cs="仿宋"/>
          <w:color w:val="auto"/>
          <w:sz w:val="24"/>
          <w:highlight w:val="none"/>
        </w:rPr>
        <w:t>下载电子招标文件。请按以下步骤顺序进行操作：通过“诚E招电子采购交易平台”（网址：https</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//www.chengezhao.com/）完成本项目招标文件的费用支付并及时下载招标文件。</w:t>
      </w:r>
    </w:p>
    <w:p w14:paraId="259DF762">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（1）输入网址，点击【新用户注册】（注册步骤详见门户网站：【投标人操作指南】-【注册指引】）。登陆账号后点击【常用文件】，下载《投标人&amp;供应商操作手册》（已注册供应商跳过本步）；</w:t>
      </w:r>
    </w:p>
    <w:p w14:paraId="4B31FC9E">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（2）注册成功后登录平台，点击【商机发现】，检索本项目并直接支付；</w:t>
      </w:r>
    </w:p>
    <w:p w14:paraId="40D9C476">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注意：无论招标文件是否收费，投标人请务必在标书售卖截止时间前登录平台，选择招标项目进行招标文件购买操作；否则将无法正常投标。</w:t>
      </w:r>
    </w:p>
    <w:p w14:paraId="5AA8D67F">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（3）选择支付方式：①网上支付（微信扫码）、②电汇（须上传汇款凭证）、③钱包支付（点击“钱包管理”，充值后即可支付）。</w:t>
      </w:r>
    </w:p>
    <w:p w14:paraId="5EEA3817">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（4）点击【我的项目】，进入项目后下载招标文件即完成文件获取。</w:t>
      </w:r>
    </w:p>
    <w:p w14:paraId="2BF7FCF2">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（5）疑问反馈：投标人针对投标人注册、招标文件获取、网上操作等相关业务的咨询，可查询平台首页“帮助中心”专区，或致电客服热线020-89524219，服务时间8</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30-17</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30（工作日）。</w:t>
      </w:r>
    </w:p>
    <w:p w14:paraId="5B7851EF">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（6）免责声明：“诚E招电子采购交易平台”（网址：https</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rPr>
        <w:t>//www.chengezhao.com/）为本项目招标文件获取的唯一渠道，其他平台支付及获取文件均属无效。</w:t>
      </w:r>
    </w:p>
    <w:p w14:paraId="7E350C2C">
      <w:pPr>
        <w:adjustRightInd w:val="0"/>
        <w:snapToGrid w:val="0"/>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注意：招标文件的获取方式及操作步骤详见《投标人&amp;供应商操作手册》-“购买文件”等。</w:t>
      </w:r>
    </w:p>
    <w:p w14:paraId="65E1D5A1">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highlight w:val="none"/>
        </w:rPr>
        <w:t>5.2 招标文件每套售价</w:t>
      </w:r>
      <w:r>
        <w:rPr>
          <w:rFonts w:hint="eastAsia" w:ascii="仿宋" w:hAnsi="仿宋" w:eastAsia="仿宋" w:cs="仿宋"/>
          <w:color w:val="auto"/>
          <w:sz w:val="24"/>
          <w:highlight w:val="none"/>
          <w:u w:val="single"/>
        </w:rPr>
        <w:t xml:space="preserve"> 400 </w:t>
      </w:r>
      <w:r>
        <w:rPr>
          <w:rFonts w:hint="eastAsia" w:ascii="仿宋" w:hAnsi="仿宋" w:eastAsia="仿宋" w:cs="仿宋"/>
          <w:color w:val="auto"/>
          <w:sz w:val="24"/>
          <w:highlight w:val="none"/>
        </w:rPr>
        <w:t>元，售后不退。</w:t>
      </w:r>
    </w:p>
    <w:p w14:paraId="016F06C3">
      <w:pPr>
        <w:pStyle w:val="2"/>
        <w:rPr>
          <w:rFonts w:hint="eastAsia" w:ascii="仿宋" w:hAnsi="仿宋" w:eastAsia="仿宋" w:cs="仿宋"/>
          <w:color w:val="auto"/>
          <w:highlight w:val="none"/>
        </w:rPr>
      </w:pPr>
      <w:bookmarkStart w:id="30" w:name="_Toc109124228"/>
      <w:bookmarkStart w:id="31" w:name="_Toc7435"/>
      <w:bookmarkStart w:id="32" w:name="_Toc13805"/>
      <w:r>
        <w:rPr>
          <w:rFonts w:hint="eastAsia" w:ascii="仿宋" w:hAnsi="仿宋" w:eastAsia="仿宋" w:cs="仿宋"/>
          <w:color w:val="auto"/>
          <w:highlight w:val="none"/>
        </w:rPr>
        <w:t>六、投标文件的递交</w:t>
      </w:r>
      <w:bookmarkEnd w:id="30"/>
      <w:bookmarkEnd w:id="31"/>
      <w:bookmarkEnd w:id="32"/>
    </w:p>
    <w:p w14:paraId="6AFE908C">
      <w:pPr>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6.1投标</w:t>
      </w:r>
      <w:r>
        <w:rPr>
          <w:rFonts w:hint="eastAsia" w:ascii="仿宋" w:hAnsi="仿宋" w:eastAsia="仿宋" w:cs="仿宋"/>
          <w:color w:val="auto"/>
          <w:sz w:val="24"/>
          <w:szCs w:val="24"/>
          <w:highlight w:val="none"/>
          <w:lang w:val="en-US" w:eastAsia="zh-CN"/>
        </w:rPr>
        <w:t>文件递交</w:t>
      </w:r>
      <w:r>
        <w:rPr>
          <w:rFonts w:hint="eastAsia" w:ascii="仿宋" w:hAnsi="仿宋" w:eastAsia="仿宋" w:cs="仿宋"/>
          <w:color w:val="auto"/>
          <w:sz w:val="24"/>
          <w:szCs w:val="24"/>
          <w:highlight w:val="none"/>
        </w:rPr>
        <w:t>截止时间：</w:t>
      </w:r>
      <w:r>
        <w:rPr>
          <w:rFonts w:hint="eastAsia" w:ascii="仿宋" w:hAnsi="仿宋" w:eastAsia="仿宋" w:cs="仿宋"/>
          <w:b/>
          <w:bCs/>
          <w:color w:val="0000FF"/>
          <w:sz w:val="24"/>
          <w:szCs w:val="24"/>
          <w:highlight w:val="none"/>
          <w:u w:val="single"/>
        </w:rPr>
        <w:t>20</w:t>
      </w:r>
      <w:r>
        <w:rPr>
          <w:rFonts w:hint="eastAsia" w:ascii="仿宋" w:hAnsi="仿宋" w:eastAsia="仿宋" w:cs="仿宋"/>
          <w:b/>
          <w:bCs/>
          <w:color w:val="0000FF"/>
          <w:sz w:val="24"/>
          <w:szCs w:val="24"/>
          <w:highlight w:val="none"/>
          <w:u w:val="single"/>
          <w:lang w:val="en-US" w:eastAsia="zh-CN"/>
        </w:rPr>
        <w:t>25</w:t>
      </w:r>
      <w:r>
        <w:rPr>
          <w:rFonts w:hint="eastAsia" w:ascii="仿宋" w:hAnsi="仿宋" w:eastAsia="仿宋" w:cs="仿宋"/>
          <w:b/>
          <w:bCs/>
          <w:color w:val="0000FF"/>
          <w:sz w:val="24"/>
          <w:szCs w:val="24"/>
          <w:highlight w:val="none"/>
          <w:u w:val="single"/>
        </w:rPr>
        <w:t>年</w:t>
      </w:r>
      <w:r>
        <w:rPr>
          <w:rFonts w:hint="eastAsia" w:ascii="仿宋" w:hAnsi="仿宋" w:eastAsia="仿宋" w:cs="仿宋"/>
          <w:b/>
          <w:bCs/>
          <w:color w:val="0000FF"/>
          <w:sz w:val="24"/>
          <w:szCs w:val="24"/>
          <w:highlight w:val="none"/>
          <w:u w:val="single"/>
          <w:lang w:val="en-US" w:eastAsia="zh-CN"/>
        </w:rPr>
        <w:t>12</w:t>
      </w:r>
      <w:r>
        <w:rPr>
          <w:rFonts w:hint="eastAsia" w:ascii="仿宋" w:hAnsi="仿宋" w:eastAsia="仿宋" w:cs="仿宋"/>
          <w:b/>
          <w:bCs/>
          <w:color w:val="0000FF"/>
          <w:sz w:val="24"/>
          <w:szCs w:val="24"/>
          <w:highlight w:val="none"/>
          <w:u w:val="single"/>
        </w:rPr>
        <w:t>月</w:t>
      </w:r>
      <w:r>
        <w:rPr>
          <w:rFonts w:hint="eastAsia" w:ascii="仿宋" w:hAnsi="仿宋" w:eastAsia="仿宋" w:cs="仿宋"/>
          <w:b/>
          <w:bCs/>
          <w:color w:val="0000FF"/>
          <w:sz w:val="24"/>
          <w:szCs w:val="24"/>
          <w:highlight w:val="none"/>
          <w:u w:val="single"/>
          <w:lang w:val="en-US" w:eastAsia="zh-CN"/>
        </w:rPr>
        <w:t>30</w:t>
      </w:r>
      <w:r>
        <w:rPr>
          <w:rFonts w:hint="eastAsia" w:ascii="仿宋" w:hAnsi="仿宋" w:eastAsia="仿宋" w:cs="仿宋"/>
          <w:b/>
          <w:bCs/>
          <w:color w:val="0000FF"/>
          <w:sz w:val="24"/>
          <w:szCs w:val="24"/>
          <w:highlight w:val="none"/>
          <w:u w:val="single"/>
        </w:rPr>
        <w:t>日</w:t>
      </w:r>
      <w:r>
        <w:rPr>
          <w:rFonts w:hint="eastAsia" w:ascii="仿宋" w:hAnsi="仿宋" w:eastAsia="仿宋" w:cs="仿宋"/>
          <w:b/>
          <w:bCs/>
          <w:color w:val="0000FF"/>
          <w:sz w:val="24"/>
          <w:szCs w:val="24"/>
          <w:highlight w:val="none"/>
          <w:u w:val="single"/>
          <w:lang w:val="en-US" w:eastAsia="zh-CN"/>
        </w:rPr>
        <w:t>14</w:t>
      </w:r>
      <w:r>
        <w:rPr>
          <w:rFonts w:hint="eastAsia" w:ascii="仿宋" w:hAnsi="仿宋" w:eastAsia="仿宋" w:cs="仿宋"/>
          <w:b/>
          <w:bCs/>
          <w:color w:val="0000FF"/>
          <w:sz w:val="24"/>
          <w:szCs w:val="24"/>
          <w:highlight w:val="none"/>
          <w:u w:val="single"/>
        </w:rPr>
        <w:t>时</w:t>
      </w:r>
      <w:r>
        <w:rPr>
          <w:rFonts w:hint="eastAsia" w:ascii="仿宋" w:hAnsi="仿宋" w:eastAsia="仿宋" w:cs="仿宋"/>
          <w:b/>
          <w:bCs/>
          <w:color w:val="0000FF"/>
          <w:sz w:val="24"/>
          <w:szCs w:val="24"/>
          <w:highlight w:val="none"/>
          <w:u w:val="single"/>
          <w:lang w:val="en-US" w:eastAsia="zh-CN"/>
        </w:rPr>
        <w:t>00</w:t>
      </w:r>
      <w:r>
        <w:rPr>
          <w:rFonts w:hint="eastAsia" w:ascii="仿宋" w:hAnsi="仿宋" w:eastAsia="仿宋" w:cs="仿宋"/>
          <w:b/>
          <w:bCs/>
          <w:color w:val="0000FF"/>
          <w:sz w:val="24"/>
          <w:szCs w:val="24"/>
          <w:highlight w:val="none"/>
          <w:u w:val="single"/>
        </w:rPr>
        <w:t>分00秒</w:t>
      </w:r>
      <w:r>
        <w:rPr>
          <w:rFonts w:hint="eastAsia" w:ascii="仿宋" w:hAnsi="仿宋" w:eastAsia="仿宋" w:cs="仿宋"/>
          <w:color w:val="auto"/>
          <w:sz w:val="24"/>
          <w:szCs w:val="24"/>
          <w:highlight w:val="none"/>
        </w:rPr>
        <w:t>。</w:t>
      </w:r>
    </w:p>
    <w:p w14:paraId="176D86E9">
      <w:pPr>
        <w:spacing w:line="360" w:lineRule="auto"/>
        <w:ind w:firstLine="480" w:firstLineChars="200"/>
        <w:textAlignment w:val="baseline"/>
        <w:rPr>
          <w:rFonts w:hint="eastAsia" w:ascii="仿宋" w:hAnsi="仿宋" w:eastAsia="仿宋" w:cs="仿宋"/>
          <w:b/>
          <w:bCs/>
          <w:color w:val="auto"/>
          <w:sz w:val="24"/>
          <w:szCs w:val="24"/>
          <w:highlight w:val="none"/>
        </w:rPr>
      </w:pPr>
      <w:bookmarkStart w:id="33" w:name="_Toc109124229"/>
      <w:bookmarkStart w:id="34" w:name="_Toc3941"/>
      <w:bookmarkStart w:id="35" w:name="_Toc9825"/>
      <w:r>
        <w:rPr>
          <w:rFonts w:hint="eastAsia" w:ascii="仿宋" w:hAnsi="仿宋" w:eastAsia="仿宋" w:cs="仿宋"/>
          <w:color w:val="auto"/>
          <w:sz w:val="24"/>
          <w:szCs w:val="24"/>
          <w:highlight w:val="none"/>
        </w:rPr>
        <w:t>6.2投标文件递交</w:t>
      </w:r>
      <w:r>
        <w:rPr>
          <w:rFonts w:hint="eastAsia" w:ascii="仿宋" w:hAnsi="仿宋" w:eastAsia="仿宋" w:cs="仿宋"/>
          <w:color w:val="auto"/>
          <w:sz w:val="24"/>
          <w:szCs w:val="24"/>
          <w:highlight w:val="none"/>
          <w:lang w:val="en-US" w:eastAsia="zh-CN"/>
        </w:rPr>
        <w:t>地点</w:t>
      </w:r>
      <w:r>
        <w:rPr>
          <w:rFonts w:hint="eastAsia" w:ascii="仿宋" w:hAnsi="仿宋" w:eastAsia="仿宋" w:cs="仿宋"/>
          <w:color w:val="auto"/>
          <w:sz w:val="24"/>
          <w:szCs w:val="24"/>
          <w:highlight w:val="none"/>
        </w:rPr>
        <w:t>：须现场递交</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接受邮寄</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至</w:t>
      </w:r>
      <w:r>
        <w:rPr>
          <w:rFonts w:hint="eastAsia" w:ascii="仿宋" w:hAnsi="仿宋" w:eastAsia="仿宋" w:cs="仿宋"/>
          <w:b w:val="0"/>
          <w:bCs/>
          <w:color w:val="auto"/>
          <w:sz w:val="24"/>
          <w:highlight w:val="none"/>
          <w:u w:val="single"/>
        </w:rPr>
        <w:t>安徽省合肥市包河区宿松路与汤泉路交口绿地中心D座54F公诚管理咨询有限公司开标室</w:t>
      </w:r>
      <w:r>
        <w:rPr>
          <w:rFonts w:hint="eastAsia" w:ascii="仿宋" w:hAnsi="仿宋" w:eastAsia="仿宋" w:cs="仿宋"/>
          <w:color w:val="auto"/>
          <w:sz w:val="24"/>
          <w:szCs w:val="24"/>
          <w:highlight w:val="none"/>
        </w:rPr>
        <w:t>，</w:t>
      </w:r>
      <w:r>
        <w:rPr>
          <w:rFonts w:hint="eastAsia" w:ascii="仿宋" w:hAnsi="仿宋" w:eastAsia="仿宋" w:cs="仿宋"/>
          <w:b/>
          <w:bCs/>
          <w:color w:val="auto"/>
          <w:sz w:val="24"/>
          <w:szCs w:val="24"/>
          <w:highlight w:val="none"/>
        </w:rPr>
        <w:t>逾期送达或者未送达指定地点或者未按照招标文件要求封装的纸质投标文件不予接收。</w:t>
      </w:r>
    </w:p>
    <w:p w14:paraId="1257ECD3">
      <w:pPr>
        <w:spacing w:line="360" w:lineRule="auto"/>
        <w:ind w:firstLine="480" w:firstLineChars="200"/>
        <w:textAlignment w:val="baseline"/>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6.3</w:t>
      </w:r>
      <w:r>
        <w:rPr>
          <w:rFonts w:hint="eastAsia" w:ascii="仿宋" w:hAnsi="仿宋" w:eastAsia="仿宋" w:cs="仿宋"/>
          <w:b/>
          <w:bCs/>
          <w:color w:val="auto"/>
          <w:kern w:val="2"/>
          <w:sz w:val="24"/>
          <w:szCs w:val="24"/>
          <w:highlight w:val="none"/>
          <w:lang w:val="en-US" w:eastAsia="zh-CN" w:bidi="ar-SA"/>
        </w:rPr>
        <w:t>本项目将于上述同一时间、地点进行开标</w:t>
      </w:r>
      <w:r>
        <w:rPr>
          <w:rFonts w:hint="eastAsia" w:ascii="仿宋" w:hAnsi="仿宋" w:eastAsia="仿宋" w:cs="仿宋"/>
          <w:b w:val="0"/>
          <w:bCs w:val="0"/>
          <w:color w:val="auto"/>
          <w:kern w:val="2"/>
          <w:sz w:val="24"/>
          <w:szCs w:val="24"/>
          <w:highlight w:val="none"/>
          <w:lang w:val="en-US" w:eastAsia="zh-CN" w:bidi="ar-SA"/>
        </w:rPr>
        <w:t>，招标人/招标代理机构邀请投标人代表准时参加。</w:t>
      </w:r>
    </w:p>
    <w:p w14:paraId="4348CC26">
      <w:pPr>
        <w:spacing w:line="360" w:lineRule="auto"/>
        <w:ind w:firstLine="480" w:firstLineChars="200"/>
        <w:textAlignment w:val="baseline"/>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6.4</w:t>
      </w:r>
      <w:r>
        <w:rPr>
          <w:rFonts w:hint="eastAsia" w:ascii="仿宋" w:hAnsi="仿宋" w:eastAsia="仿宋" w:cs="仿宋"/>
          <w:b/>
          <w:bCs/>
          <w:color w:val="auto"/>
          <w:kern w:val="2"/>
          <w:sz w:val="24"/>
          <w:szCs w:val="24"/>
          <w:highlight w:val="none"/>
          <w:lang w:val="en-US" w:eastAsia="zh-CN" w:bidi="ar-SA"/>
        </w:rPr>
        <w:t>出现以下情形之一时，招标人/招标代理机构不予接收投标文件：</w:t>
      </w:r>
    </w:p>
    <w:p w14:paraId="4492E1A2">
      <w:pPr>
        <w:spacing w:line="360" w:lineRule="auto"/>
        <w:ind w:firstLine="480" w:firstLineChars="200"/>
        <w:textAlignment w:val="baseline"/>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6.4.1  逾期送达或者未送达指定地点的；</w:t>
      </w:r>
    </w:p>
    <w:p w14:paraId="48B454B1">
      <w:pPr>
        <w:spacing w:line="360" w:lineRule="auto"/>
        <w:ind w:firstLine="480" w:firstLineChars="200"/>
        <w:textAlignment w:val="baseline"/>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6.4.2  未按照招标文件要求密封的；</w:t>
      </w:r>
    </w:p>
    <w:p w14:paraId="28F59A9D">
      <w:pPr>
        <w:spacing w:line="360" w:lineRule="auto"/>
        <w:ind w:firstLine="480" w:firstLineChars="200"/>
        <w:textAlignment w:val="baseline"/>
        <w:rPr>
          <w:rFonts w:hint="eastAsia" w:ascii="仿宋" w:hAnsi="仿宋" w:eastAsia="仿宋" w:cs="仿宋"/>
          <w:b w:val="0"/>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6.4.3  未按照招标公告要求获取招标文件的。</w:t>
      </w:r>
    </w:p>
    <w:p w14:paraId="2C8CBF19">
      <w:pPr>
        <w:spacing w:line="360" w:lineRule="auto"/>
        <w:ind w:firstLine="480" w:firstLineChars="200"/>
        <w:textAlignment w:val="baseline"/>
        <w:rPr>
          <w:rFonts w:hint="eastAsia" w:ascii="仿宋" w:hAnsi="仿宋" w:eastAsia="仿宋" w:cs="宋体"/>
          <w:b/>
          <w:bCs/>
          <w:color w:val="auto"/>
          <w:kern w:val="2"/>
          <w:sz w:val="24"/>
          <w:szCs w:val="24"/>
          <w:highlight w:val="none"/>
          <w:lang w:val="en-US" w:eastAsia="zh-CN" w:bidi="ar-SA"/>
        </w:rPr>
      </w:pPr>
      <w:r>
        <w:rPr>
          <w:rFonts w:hint="eastAsia" w:ascii="仿宋" w:hAnsi="仿宋" w:eastAsia="仿宋" w:cs="仿宋"/>
          <w:b w:val="0"/>
          <w:color w:val="auto"/>
          <w:kern w:val="2"/>
          <w:sz w:val="24"/>
          <w:szCs w:val="24"/>
          <w:highlight w:val="none"/>
          <w:lang w:val="en-US" w:eastAsia="zh-CN" w:bidi="ar-SA"/>
        </w:rPr>
        <w:t>6.5</w:t>
      </w:r>
      <w:r>
        <w:rPr>
          <w:rFonts w:hint="eastAsia" w:ascii="仿宋" w:hAnsi="仿宋" w:eastAsia="仿宋" w:cs="宋体"/>
          <w:b/>
          <w:bCs/>
          <w:color w:val="auto"/>
          <w:kern w:val="2"/>
          <w:sz w:val="24"/>
          <w:szCs w:val="24"/>
          <w:highlight w:val="none"/>
          <w:lang w:val="en-US" w:eastAsia="zh-CN" w:bidi="ar-SA"/>
        </w:rPr>
        <w:t>本项目可邮寄投标文件，邮寄信息如下：</w:t>
      </w:r>
    </w:p>
    <w:p w14:paraId="43E88077">
      <w:pPr>
        <w:spacing w:line="360" w:lineRule="auto"/>
        <w:ind w:firstLine="482" w:firstLineChars="200"/>
        <w:textAlignment w:val="baseline"/>
        <w:rPr>
          <w:rFonts w:hint="eastAsia" w:ascii="仿宋" w:hAnsi="仿宋" w:eastAsia="仿宋" w:cs="宋体"/>
          <w:b/>
          <w:bCs/>
          <w:color w:val="auto"/>
          <w:kern w:val="2"/>
          <w:sz w:val="24"/>
          <w:szCs w:val="24"/>
          <w:highlight w:val="none"/>
          <w:lang w:val="en-US" w:eastAsia="zh-CN" w:bidi="ar-SA"/>
        </w:rPr>
      </w:pPr>
      <w:r>
        <w:rPr>
          <w:rFonts w:hint="eastAsia" w:ascii="仿宋" w:hAnsi="仿宋" w:eastAsia="仿宋" w:cs="宋体"/>
          <w:b/>
          <w:bCs/>
          <w:color w:val="auto"/>
          <w:kern w:val="2"/>
          <w:sz w:val="24"/>
          <w:szCs w:val="24"/>
          <w:highlight w:val="none"/>
          <w:lang w:val="en-US" w:eastAsia="zh-CN" w:bidi="ar-SA"/>
        </w:rPr>
        <w:t>邮寄地址：</w:t>
      </w:r>
      <w:r>
        <w:rPr>
          <w:rFonts w:hint="eastAsia" w:ascii="仿宋" w:hAnsi="仿宋" w:eastAsia="仿宋" w:cs="仿宋"/>
          <w:b/>
          <w:bCs/>
          <w:color w:val="auto"/>
          <w:sz w:val="24"/>
          <w:highlight w:val="none"/>
          <w:u w:val="single"/>
        </w:rPr>
        <w:t>安徽省合肥市包河区宿松路与汤泉路交口绿地中心D座54F公诚管理咨询有限公司</w:t>
      </w:r>
    </w:p>
    <w:p w14:paraId="57681EA5">
      <w:pPr>
        <w:spacing w:line="360" w:lineRule="auto"/>
        <w:ind w:firstLine="482" w:firstLineChars="200"/>
        <w:textAlignment w:val="baseline"/>
        <w:rPr>
          <w:rFonts w:hint="default" w:ascii="仿宋" w:hAnsi="仿宋" w:eastAsia="仿宋" w:cs="宋体"/>
          <w:b/>
          <w:bCs/>
          <w:color w:val="auto"/>
          <w:kern w:val="2"/>
          <w:sz w:val="24"/>
          <w:szCs w:val="24"/>
          <w:highlight w:val="none"/>
          <w:lang w:val="en-US" w:eastAsia="zh-CN" w:bidi="ar-SA"/>
        </w:rPr>
      </w:pPr>
      <w:r>
        <w:rPr>
          <w:rFonts w:hint="eastAsia" w:ascii="仿宋" w:hAnsi="仿宋" w:eastAsia="仿宋" w:cs="宋体"/>
          <w:b/>
          <w:bCs/>
          <w:color w:val="auto"/>
          <w:kern w:val="2"/>
          <w:sz w:val="24"/>
          <w:szCs w:val="24"/>
          <w:highlight w:val="none"/>
          <w:lang w:val="en-US" w:eastAsia="zh-CN" w:bidi="ar-SA"/>
        </w:rPr>
        <w:t>收信人：</w:t>
      </w:r>
      <w:r>
        <w:rPr>
          <w:rFonts w:hint="eastAsia" w:ascii="仿宋" w:hAnsi="仿宋" w:eastAsia="仿宋" w:cs="宋体"/>
          <w:b/>
          <w:bCs/>
          <w:color w:val="auto"/>
          <w:kern w:val="2"/>
          <w:sz w:val="24"/>
          <w:szCs w:val="24"/>
          <w:highlight w:val="none"/>
          <w:u w:val="single"/>
          <w:lang w:val="en-US" w:eastAsia="zh-CN" w:bidi="ar-SA"/>
        </w:rPr>
        <w:t>桑工</w:t>
      </w:r>
    </w:p>
    <w:p w14:paraId="031A4F16">
      <w:pPr>
        <w:spacing w:line="360" w:lineRule="auto"/>
        <w:ind w:firstLine="482" w:firstLineChars="200"/>
        <w:textAlignment w:val="baseline"/>
        <w:rPr>
          <w:rFonts w:hint="default" w:ascii="仿宋" w:hAnsi="仿宋" w:eastAsia="仿宋" w:cs="宋体"/>
          <w:b/>
          <w:bCs/>
          <w:color w:val="auto"/>
          <w:kern w:val="2"/>
          <w:sz w:val="24"/>
          <w:szCs w:val="24"/>
          <w:highlight w:val="none"/>
          <w:u w:val="single"/>
          <w:lang w:val="en-US" w:eastAsia="zh-CN" w:bidi="ar-SA"/>
        </w:rPr>
      </w:pPr>
      <w:r>
        <w:rPr>
          <w:rFonts w:hint="eastAsia" w:ascii="仿宋" w:hAnsi="仿宋" w:eastAsia="仿宋" w:cs="宋体"/>
          <w:b/>
          <w:bCs/>
          <w:color w:val="auto"/>
          <w:kern w:val="2"/>
          <w:sz w:val="24"/>
          <w:szCs w:val="24"/>
          <w:highlight w:val="none"/>
          <w:lang w:val="en-US" w:eastAsia="zh-CN" w:bidi="ar-SA"/>
        </w:rPr>
        <w:t>联系电话：</w:t>
      </w:r>
      <w:r>
        <w:rPr>
          <w:rFonts w:hint="eastAsia" w:ascii="仿宋" w:hAnsi="仿宋" w:eastAsia="仿宋" w:cs="宋体"/>
          <w:b/>
          <w:bCs/>
          <w:color w:val="auto"/>
          <w:kern w:val="2"/>
          <w:sz w:val="24"/>
          <w:szCs w:val="24"/>
          <w:highlight w:val="none"/>
          <w:u w:val="single"/>
          <w:lang w:val="en-US" w:eastAsia="zh-CN" w:bidi="ar-SA"/>
        </w:rPr>
        <w:t>18956568064</w:t>
      </w:r>
    </w:p>
    <w:p w14:paraId="6E45D0E0">
      <w:pPr>
        <w:spacing w:line="360" w:lineRule="auto"/>
        <w:ind w:firstLine="482" w:firstLineChars="200"/>
        <w:textAlignment w:val="baseline"/>
        <w:rPr>
          <w:rFonts w:hint="default" w:ascii="仿宋" w:hAnsi="仿宋" w:eastAsia="仿宋" w:cs="宋体"/>
          <w:b w:val="0"/>
          <w:color w:val="auto"/>
          <w:kern w:val="2"/>
          <w:sz w:val="24"/>
          <w:szCs w:val="24"/>
          <w:highlight w:val="none"/>
          <w:lang w:val="en-US" w:eastAsia="zh-CN" w:bidi="ar-SA"/>
        </w:rPr>
      </w:pPr>
      <w:r>
        <w:rPr>
          <w:rFonts w:hint="eastAsia" w:ascii="仿宋" w:hAnsi="仿宋" w:eastAsia="仿宋" w:cs="宋体"/>
          <w:b/>
          <w:bCs/>
          <w:color w:val="auto"/>
          <w:kern w:val="2"/>
          <w:sz w:val="24"/>
          <w:szCs w:val="24"/>
          <w:highlight w:val="none"/>
          <w:lang w:val="en-US" w:eastAsia="zh-CN" w:bidi="ar-SA"/>
        </w:rPr>
        <w:t>特殊说明：如供应商选择邮寄投标文件，则根据招标代理机构实际收到投标文件的时间为准。如因快递途中延误或派送延误的原因导致招标代理机构未能在投标时间截止前收到投标文件的，由供应商自行承担责任，供应商应充分考虑相关风险因素。</w:t>
      </w:r>
    </w:p>
    <w:p w14:paraId="520756C7">
      <w:pPr>
        <w:pStyle w:val="2"/>
        <w:rPr>
          <w:rFonts w:hint="eastAsia" w:ascii="仿宋" w:hAnsi="仿宋" w:eastAsia="仿宋" w:cs="仿宋"/>
          <w:color w:val="auto"/>
          <w:highlight w:val="none"/>
        </w:rPr>
      </w:pPr>
      <w:r>
        <w:rPr>
          <w:rFonts w:hint="eastAsia" w:ascii="仿宋" w:hAnsi="仿宋" w:eastAsia="仿宋" w:cs="仿宋"/>
          <w:color w:val="auto"/>
          <w:highlight w:val="none"/>
          <w:lang w:val="en-US" w:eastAsia="zh-CN"/>
        </w:rPr>
        <w:t>七</w:t>
      </w:r>
      <w:r>
        <w:rPr>
          <w:rFonts w:hint="eastAsia" w:ascii="仿宋" w:hAnsi="仿宋" w:eastAsia="仿宋" w:cs="仿宋"/>
          <w:color w:val="auto"/>
          <w:highlight w:val="none"/>
        </w:rPr>
        <w:t>、发布公告的媒介</w:t>
      </w:r>
      <w:bookmarkEnd w:id="33"/>
      <w:bookmarkEnd w:id="34"/>
      <w:bookmarkEnd w:id="35"/>
    </w:p>
    <w:p w14:paraId="29A31A5F">
      <w:pPr>
        <w:keepNext w:val="0"/>
        <w:keepLines w:val="0"/>
        <w:pageBreakBefore w:val="0"/>
        <w:widowControl w:val="0"/>
        <w:kinsoku/>
        <w:wordWrap w:val="0"/>
        <w:overflowPunct/>
        <w:topLinePunct w:val="0"/>
        <w:autoSpaceDE/>
        <w:autoSpaceDN/>
        <w:bidi w:val="0"/>
        <w:adjustRightInd/>
        <w:snapToGrid/>
        <w:spacing w:line="360" w:lineRule="auto"/>
        <w:ind w:firstLine="480" w:firstLineChars="200"/>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本项目招标公</w:t>
      </w:r>
      <w:r>
        <w:rPr>
          <w:rFonts w:hint="eastAsia" w:ascii="仿宋" w:hAnsi="仿宋" w:eastAsia="仿宋" w:cs="仿宋"/>
          <w:color w:val="auto"/>
          <w:sz w:val="24"/>
          <w:szCs w:val="24"/>
          <w:highlight w:val="none"/>
          <w:u w:val="none"/>
        </w:rPr>
        <w:t>告同时在</w:t>
      </w:r>
      <w:r>
        <w:rPr>
          <w:rFonts w:hint="eastAsia" w:ascii="仿宋" w:hAnsi="仿宋" w:eastAsia="仿宋" w:cs="仿宋"/>
          <w:color w:val="auto"/>
          <w:sz w:val="24"/>
          <w:highlight w:val="none"/>
          <w:u w:val="none"/>
        </w:rPr>
        <w:t>“人保e采”外网门户</w:t>
      </w:r>
      <w:r>
        <w:rPr>
          <w:rFonts w:hint="eastAsia" w:ascii="仿宋" w:hAnsi="仿宋" w:eastAsia="仿宋" w:cs="仿宋"/>
          <w:color w:val="auto"/>
          <w:sz w:val="24"/>
          <w:szCs w:val="24"/>
          <w:highlight w:val="none"/>
        </w:rPr>
        <w:t>（https</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//ec.picc.com/）</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中国招标投标公共服务平台（http：//www.cebpubservice.com/）、中国金融集中采购网（http：//www.cfcpn.com/）、</w:t>
      </w:r>
      <w:r>
        <w:rPr>
          <w:rFonts w:hint="eastAsia" w:ascii="仿宋" w:hAnsi="仿宋" w:eastAsia="仿宋" w:cs="仿宋"/>
          <w:color w:val="auto"/>
          <w:sz w:val="24"/>
          <w:szCs w:val="24"/>
          <w:highlight w:val="none"/>
        </w:rPr>
        <w:t>中国采购与招标网（http</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//www.chinabid</w:t>
      </w:r>
      <w:r>
        <w:rPr>
          <w:rFonts w:hint="eastAsia" w:ascii="仿宋" w:hAnsi="仿宋" w:eastAsia="仿宋" w:cs="仿宋"/>
          <w:color w:val="auto"/>
          <w:sz w:val="24"/>
          <w:highlight w:val="none"/>
          <w:u w:val="none"/>
        </w:rPr>
        <w:t>ding.com.cn）</w:t>
      </w:r>
      <w:r>
        <w:rPr>
          <w:rFonts w:hint="eastAsia" w:ascii="仿宋" w:hAnsi="仿宋" w:eastAsia="仿宋" w:cs="仿宋"/>
          <w:color w:val="auto"/>
          <w:sz w:val="24"/>
          <w:szCs w:val="24"/>
          <w:highlight w:val="none"/>
          <w:u w:val="none"/>
          <w:lang w:val="en-US" w:eastAsia="zh-CN"/>
        </w:rPr>
        <w:t>和</w:t>
      </w:r>
      <w:r>
        <w:rPr>
          <w:rFonts w:hint="eastAsia" w:ascii="仿宋" w:hAnsi="仿宋" w:eastAsia="仿宋" w:cs="仿宋"/>
          <w:color w:val="auto"/>
          <w:sz w:val="24"/>
          <w:highlight w:val="none"/>
          <w:u w:val="none"/>
        </w:rPr>
        <w:t>安徽省招标投标信息网（http</w:t>
      </w:r>
      <w:r>
        <w:rPr>
          <w:rFonts w:hint="eastAsia" w:ascii="仿宋" w:hAnsi="仿宋" w:eastAsia="仿宋" w:cs="仿宋"/>
          <w:color w:val="auto"/>
          <w:sz w:val="24"/>
          <w:highlight w:val="none"/>
          <w:u w:val="none"/>
          <w:lang w:eastAsia="zh-CN"/>
        </w:rPr>
        <w:t>：</w:t>
      </w:r>
      <w:r>
        <w:rPr>
          <w:rFonts w:hint="eastAsia" w:ascii="仿宋" w:hAnsi="仿宋" w:eastAsia="仿宋" w:cs="仿宋"/>
          <w:color w:val="auto"/>
          <w:sz w:val="24"/>
          <w:highlight w:val="none"/>
          <w:u w:val="none"/>
        </w:rPr>
        <w:t>//www.ahtba.org.cn）</w:t>
      </w:r>
      <w:r>
        <w:rPr>
          <w:rFonts w:hint="eastAsia" w:ascii="仿宋" w:hAnsi="仿宋" w:eastAsia="仿宋" w:cs="仿宋"/>
          <w:color w:val="auto"/>
          <w:sz w:val="24"/>
          <w:szCs w:val="24"/>
          <w:highlight w:val="none"/>
          <w:u w:val="none"/>
        </w:rPr>
        <w:t>上发布，除上</w:t>
      </w:r>
      <w:r>
        <w:rPr>
          <w:rFonts w:hint="eastAsia" w:ascii="仿宋" w:hAnsi="仿宋" w:eastAsia="仿宋" w:cs="仿宋"/>
          <w:color w:val="auto"/>
          <w:sz w:val="24"/>
          <w:szCs w:val="24"/>
          <w:highlight w:val="none"/>
        </w:rPr>
        <w:t>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6EFBB629">
      <w:pPr>
        <w:pStyle w:val="2"/>
        <w:rPr>
          <w:rFonts w:hint="eastAsia" w:ascii="仿宋" w:hAnsi="仿宋" w:eastAsia="仿宋" w:cs="仿宋"/>
          <w:color w:val="auto"/>
          <w:highlight w:val="none"/>
        </w:rPr>
      </w:pPr>
      <w:bookmarkStart w:id="36" w:name="_Toc24589"/>
      <w:bookmarkStart w:id="37" w:name="_Toc109124230"/>
      <w:bookmarkStart w:id="38" w:name="_Toc20415"/>
      <w:bookmarkStart w:id="39" w:name="_Toc26408"/>
      <w:bookmarkStart w:id="40" w:name="_Toc6702"/>
      <w:bookmarkStart w:id="41" w:name="_Toc7046"/>
      <w:r>
        <w:rPr>
          <w:rFonts w:hint="eastAsia" w:ascii="仿宋" w:hAnsi="仿宋" w:eastAsia="仿宋" w:cs="仿宋"/>
          <w:color w:val="auto"/>
          <w:highlight w:val="none"/>
          <w:lang w:val="en-US" w:eastAsia="zh-CN"/>
        </w:rPr>
        <w:t>八</w:t>
      </w:r>
      <w:r>
        <w:rPr>
          <w:rFonts w:hint="eastAsia" w:ascii="仿宋" w:hAnsi="仿宋" w:eastAsia="仿宋" w:cs="仿宋"/>
          <w:color w:val="auto"/>
          <w:highlight w:val="none"/>
        </w:rPr>
        <w:t>、联系方式</w:t>
      </w:r>
      <w:bookmarkEnd w:id="36"/>
      <w:bookmarkEnd w:id="37"/>
      <w:bookmarkEnd w:id="38"/>
      <w:bookmarkEnd w:id="39"/>
      <w:bookmarkEnd w:id="40"/>
      <w:bookmarkEnd w:id="41"/>
    </w:p>
    <w:p w14:paraId="391A294E">
      <w:pPr>
        <w:spacing w:line="360" w:lineRule="auto"/>
        <w:ind w:firstLine="480" w:firstLineChars="200"/>
        <w:rPr>
          <w:rFonts w:hint="eastAsia" w:ascii="仿宋" w:hAnsi="仿宋" w:eastAsia="仿宋" w:cs="仿宋"/>
          <w:color w:val="auto"/>
          <w:sz w:val="24"/>
          <w:highlight w:val="none"/>
          <w:lang w:val="en-US"/>
        </w:rPr>
      </w:pPr>
      <w:r>
        <w:rPr>
          <w:rFonts w:hint="eastAsia" w:ascii="仿宋" w:hAnsi="仿宋" w:eastAsia="仿宋" w:cs="仿宋"/>
          <w:color w:val="auto"/>
          <w:sz w:val="24"/>
          <w:highlight w:val="none"/>
          <w:lang w:val="en-US" w:eastAsia="zh-CN"/>
        </w:rPr>
        <w:t>招标人：中国人民财产保险股份有限公司宿州市分公司</w:t>
      </w:r>
    </w:p>
    <w:p w14:paraId="3FFDBD9A">
      <w:pPr>
        <w:spacing w:line="360" w:lineRule="auto"/>
        <w:ind w:firstLine="480" w:firstLineChars="200"/>
        <w:rPr>
          <w:rFonts w:hint="eastAsia" w:ascii="仿宋" w:hAnsi="仿宋" w:eastAsia="仿宋" w:cs="仿宋"/>
          <w:color w:val="auto"/>
          <w:sz w:val="24"/>
          <w:highlight w:val="none"/>
          <w:lang w:val="en-US"/>
        </w:rPr>
      </w:pPr>
      <w:r>
        <w:rPr>
          <w:rFonts w:hint="eastAsia" w:ascii="仿宋" w:hAnsi="仿宋" w:eastAsia="仿宋" w:cs="仿宋"/>
          <w:color w:val="auto"/>
          <w:sz w:val="24"/>
          <w:highlight w:val="none"/>
          <w:lang w:val="en-US" w:eastAsia="zh-CN"/>
        </w:rPr>
        <w:t>联系人：陈女士</w:t>
      </w:r>
    </w:p>
    <w:p w14:paraId="561121BE">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招标代理机构：公诚管理咨询有限公司</w:t>
      </w:r>
    </w:p>
    <w:p w14:paraId="4EF8E3B1">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地址：</w:t>
      </w:r>
      <w:r>
        <w:rPr>
          <w:rFonts w:hint="eastAsia" w:ascii="仿宋" w:hAnsi="仿宋" w:eastAsia="仿宋" w:cs="仿宋"/>
          <w:color w:val="auto"/>
          <w:sz w:val="24"/>
          <w:highlight w:val="none"/>
          <w:lang w:val="en-US" w:eastAsia="zh-CN"/>
        </w:rPr>
        <w:t>安徽省</w:t>
      </w:r>
      <w:r>
        <w:rPr>
          <w:rFonts w:hint="eastAsia" w:ascii="仿宋" w:hAnsi="仿宋" w:eastAsia="仿宋" w:cs="仿宋"/>
          <w:color w:val="auto"/>
          <w:kern w:val="2"/>
          <w:sz w:val="24"/>
          <w:szCs w:val="21"/>
          <w:highlight w:val="none"/>
          <w:lang w:val="en-US" w:eastAsia="zh-CN" w:bidi="ar"/>
        </w:rPr>
        <w:t>合肥市包河区宿松路与汤泉路交口绿地中心D座54F</w:t>
      </w:r>
    </w:p>
    <w:p w14:paraId="67E7B038">
      <w:pPr>
        <w:tabs>
          <w:tab w:val="left" w:pos="7453"/>
        </w:tabs>
        <w:spacing w:line="360" w:lineRule="auto"/>
        <w:ind w:firstLine="480" w:firstLineChars="200"/>
        <w:rPr>
          <w:rFonts w:hint="eastAsia" w:ascii="仿宋" w:hAnsi="仿宋" w:eastAsia="仿宋" w:cs="仿宋"/>
          <w:color w:val="auto"/>
          <w:sz w:val="24"/>
          <w:highlight w:val="none"/>
          <w:lang w:eastAsia="zh-CN"/>
        </w:rPr>
      </w:pPr>
      <w:r>
        <w:rPr>
          <w:rFonts w:hint="eastAsia" w:ascii="仿宋" w:hAnsi="仿宋" w:eastAsia="仿宋" w:cs="仿宋"/>
          <w:color w:val="auto"/>
          <w:sz w:val="24"/>
          <w:highlight w:val="none"/>
        </w:rPr>
        <w:t>联系人：</w:t>
      </w:r>
      <w:r>
        <w:rPr>
          <w:rFonts w:hint="eastAsia" w:ascii="仿宋" w:hAnsi="仿宋" w:eastAsia="仿宋" w:cs="仿宋"/>
          <w:color w:val="auto"/>
          <w:sz w:val="24"/>
          <w:highlight w:val="none"/>
          <w:lang w:val="en-US" w:eastAsia="zh-CN"/>
        </w:rPr>
        <w:t>桑林海</w:t>
      </w:r>
      <w:r>
        <w:rPr>
          <w:rFonts w:hint="eastAsia" w:ascii="仿宋" w:hAnsi="仿宋" w:eastAsia="仿宋" w:cs="仿宋"/>
          <w:color w:val="auto"/>
          <w:sz w:val="24"/>
          <w:highlight w:val="none"/>
        </w:rPr>
        <w:t>、何云峰、洪鹰群、庞文勇</w:t>
      </w:r>
      <w:r>
        <w:rPr>
          <w:rFonts w:hint="eastAsia" w:ascii="仿宋" w:hAnsi="仿宋" w:eastAsia="仿宋" w:cs="仿宋"/>
          <w:color w:val="auto"/>
          <w:sz w:val="24"/>
          <w:highlight w:val="none"/>
          <w:lang w:eastAsia="zh-CN"/>
        </w:rPr>
        <w:t>、</w:t>
      </w:r>
      <w:r>
        <w:rPr>
          <w:rFonts w:hint="eastAsia" w:ascii="仿宋" w:hAnsi="仿宋" w:eastAsia="仿宋" w:cs="仿宋"/>
          <w:color w:val="auto"/>
          <w:sz w:val="24"/>
          <w:highlight w:val="none"/>
          <w:lang w:val="en-US" w:eastAsia="zh-CN"/>
        </w:rPr>
        <w:t>盛菲、李涛</w:t>
      </w:r>
    </w:p>
    <w:p w14:paraId="1A5ECE73">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联系电话：</w:t>
      </w:r>
      <w:r>
        <w:rPr>
          <w:rFonts w:hint="eastAsia" w:ascii="仿宋" w:hAnsi="仿宋" w:eastAsia="仿宋" w:cs="仿宋"/>
          <w:color w:val="auto"/>
          <w:sz w:val="24"/>
          <w:highlight w:val="none"/>
          <w:lang w:val="en-US" w:eastAsia="zh-CN"/>
        </w:rPr>
        <w:t>18956568064、</w:t>
      </w:r>
      <w:r>
        <w:rPr>
          <w:rFonts w:hint="eastAsia" w:ascii="仿宋" w:hAnsi="仿宋" w:eastAsia="仿宋" w:cs="仿宋"/>
          <w:color w:val="auto"/>
          <w:sz w:val="24"/>
          <w:highlight w:val="none"/>
        </w:rPr>
        <w:t>18160881208</w:t>
      </w:r>
    </w:p>
    <w:p w14:paraId="4ED7639C">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邮编：232000</w:t>
      </w:r>
    </w:p>
    <w:p w14:paraId="7655E707">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账户名称：公诚管理咨询有限公司</w:t>
      </w:r>
    </w:p>
    <w:p w14:paraId="07DCFD9C">
      <w:pPr>
        <w:spacing w:line="360" w:lineRule="auto"/>
        <w:ind w:firstLine="480" w:firstLineChars="200"/>
        <w:rPr>
          <w:rFonts w:hint="eastAsia" w:ascii="仿宋" w:hAnsi="仿宋" w:eastAsia="仿宋" w:cs="仿宋"/>
          <w:color w:val="auto"/>
          <w:sz w:val="24"/>
          <w:highlight w:val="none"/>
        </w:rPr>
      </w:pPr>
      <w:r>
        <w:rPr>
          <w:rFonts w:hint="eastAsia" w:ascii="仿宋" w:hAnsi="仿宋" w:eastAsia="仿宋" w:cs="仿宋"/>
          <w:color w:val="auto"/>
          <w:sz w:val="24"/>
          <w:highlight w:val="none"/>
        </w:rPr>
        <w:t>开户银行：中信银行广州花园支行</w:t>
      </w:r>
    </w:p>
    <w:p w14:paraId="24939B27">
      <w:pPr>
        <w:spacing w:line="360" w:lineRule="auto"/>
        <w:ind w:firstLine="480" w:firstLineChars="200"/>
        <w:textAlignment w:val="baseline"/>
        <w:rPr>
          <w:rFonts w:hint="eastAsia" w:ascii="仿宋" w:hAnsi="仿宋" w:eastAsia="仿宋" w:cs="仿宋"/>
          <w:bCs/>
          <w:color w:val="auto"/>
          <w:sz w:val="24"/>
          <w:szCs w:val="24"/>
          <w:highlight w:val="none"/>
          <w:lang w:val="en-US"/>
        </w:rPr>
      </w:pPr>
      <w:r>
        <w:rPr>
          <w:rFonts w:hint="eastAsia" w:ascii="仿宋" w:hAnsi="仿宋" w:eastAsia="仿宋" w:cs="仿宋"/>
          <w:color w:val="auto"/>
          <w:sz w:val="24"/>
          <w:highlight w:val="none"/>
        </w:rPr>
        <w:t>银行帐号：</w:t>
      </w:r>
      <w:r>
        <w:rPr>
          <w:rFonts w:hint="eastAsia" w:ascii="仿宋" w:hAnsi="仿宋" w:eastAsia="仿宋" w:cs="仿宋"/>
          <w:color w:val="auto"/>
          <w:sz w:val="24"/>
          <w:highlight w:val="none"/>
          <w:lang w:eastAsia="zh-CN"/>
        </w:rPr>
        <w:t>31109100376725</w:t>
      </w:r>
      <w:r>
        <w:rPr>
          <w:rFonts w:hint="eastAsia" w:ascii="仿宋" w:hAnsi="仿宋" w:eastAsia="仿宋" w:cs="仿宋"/>
          <w:color w:val="auto"/>
          <w:sz w:val="24"/>
          <w:highlight w:val="none"/>
          <w:lang w:val="en-US" w:eastAsia="zh-CN"/>
        </w:rPr>
        <w:t>21362</w:t>
      </w:r>
    </w:p>
    <w:p w14:paraId="22195B6A">
      <w:pPr>
        <w:spacing w:line="360" w:lineRule="auto"/>
        <w:ind w:firstLine="420"/>
        <w:rPr>
          <w:rFonts w:hint="eastAsia" w:ascii="仿宋" w:hAnsi="仿宋" w:eastAsia="仿宋" w:cs="仿宋"/>
          <w:color w:val="auto"/>
          <w:sz w:val="24"/>
          <w:szCs w:val="24"/>
          <w:highlight w:val="none"/>
        </w:rPr>
      </w:pPr>
    </w:p>
    <w:p w14:paraId="6BC9C6A8">
      <w:pPr>
        <w:spacing w:line="360" w:lineRule="auto"/>
        <w:ind w:firstLine="480" w:firstLineChars="200"/>
        <w:jc w:val="right"/>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招标人：中国人民财产保险股份有限公司</w:t>
      </w:r>
      <w:r>
        <w:rPr>
          <w:rFonts w:hint="eastAsia" w:ascii="仿宋" w:hAnsi="仿宋" w:eastAsia="仿宋" w:cs="仿宋"/>
          <w:color w:val="auto"/>
          <w:sz w:val="24"/>
          <w:szCs w:val="24"/>
          <w:highlight w:val="none"/>
          <w:lang w:val="en-US" w:eastAsia="zh-CN"/>
        </w:rPr>
        <w:t>宿州市</w:t>
      </w:r>
      <w:r>
        <w:rPr>
          <w:rFonts w:hint="eastAsia" w:ascii="仿宋" w:hAnsi="仿宋" w:eastAsia="仿宋" w:cs="仿宋"/>
          <w:color w:val="auto"/>
          <w:sz w:val="24"/>
          <w:szCs w:val="24"/>
          <w:highlight w:val="none"/>
        </w:rPr>
        <w:t>分公司</w:t>
      </w:r>
    </w:p>
    <w:p w14:paraId="056BEB49">
      <w:pPr>
        <w:spacing w:line="360" w:lineRule="auto"/>
        <w:ind w:firstLine="480" w:firstLineChars="200"/>
        <w:jc w:val="right"/>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招标代理机构：</w:t>
      </w:r>
      <w:r>
        <w:rPr>
          <w:rFonts w:hint="eastAsia" w:ascii="仿宋" w:hAnsi="仿宋" w:eastAsia="仿宋" w:cs="仿宋"/>
          <w:color w:val="auto"/>
          <w:sz w:val="24"/>
          <w:szCs w:val="24"/>
          <w:highlight w:val="none"/>
          <w:lang w:val="en-US" w:eastAsia="zh-CN"/>
        </w:rPr>
        <w:t>公诚管理咨询有限公司</w:t>
      </w:r>
    </w:p>
    <w:p w14:paraId="2115781C">
      <w:pPr>
        <w:spacing w:line="360" w:lineRule="auto"/>
        <w:ind w:firstLine="480" w:firstLineChars="200"/>
        <w:jc w:val="right"/>
        <w:textAlignment w:val="baseline"/>
        <w:rPr>
          <w:rFonts w:hint="eastAsia" w:ascii="仿宋" w:hAnsi="仿宋" w:eastAsia="仿宋" w:cs="仿宋"/>
          <w:color w:val="0000FF"/>
          <w:sz w:val="24"/>
          <w:szCs w:val="24"/>
          <w:highlight w:val="none"/>
        </w:rPr>
      </w:pPr>
      <w:r>
        <w:rPr>
          <w:rFonts w:hint="eastAsia" w:ascii="仿宋" w:hAnsi="仿宋" w:eastAsia="仿宋" w:cs="仿宋"/>
          <w:color w:val="0000FF"/>
          <w:sz w:val="24"/>
          <w:szCs w:val="24"/>
          <w:highlight w:val="none"/>
        </w:rPr>
        <w:t>20</w:t>
      </w:r>
      <w:r>
        <w:rPr>
          <w:rFonts w:hint="eastAsia" w:ascii="仿宋" w:hAnsi="仿宋" w:eastAsia="仿宋" w:cs="仿宋"/>
          <w:color w:val="0000FF"/>
          <w:sz w:val="24"/>
          <w:szCs w:val="24"/>
          <w:highlight w:val="none"/>
          <w:lang w:val="en-US" w:eastAsia="zh-CN"/>
        </w:rPr>
        <w:t>25</w:t>
      </w:r>
      <w:r>
        <w:rPr>
          <w:rFonts w:hint="eastAsia" w:ascii="仿宋" w:hAnsi="仿宋" w:eastAsia="仿宋" w:cs="仿宋"/>
          <w:color w:val="0000FF"/>
          <w:sz w:val="24"/>
          <w:szCs w:val="24"/>
          <w:highlight w:val="none"/>
        </w:rPr>
        <w:t>年</w:t>
      </w:r>
      <w:r>
        <w:rPr>
          <w:rFonts w:hint="eastAsia" w:ascii="仿宋" w:hAnsi="仿宋" w:eastAsia="仿宋" w:cs="仿宋"/>
          <w:color w:val="0000FF"/>
          <w:sz w:val="24"/>
          <w:szCs w:val="24"/>
          <w:highlight w:val="none"/>
          <w:lang w:val="en-US" w:eastAsia="zh-CN"/>
        </w:rPr>
        <w:t>12</w:t>
      </w:r>
      <w:r>
        <w:rPr>
          <w:rFonts w:hint="eastAsia" w:ascii="仿宋" w:hAnsi="仿宋" w:eastAsia="仿宋" w:cs="仿宋"/>
          <w:color w:val="0000FF"/>
          <w:sz w:val="24"/>
          <w:szCs w:val="24"/>
          <w:highlight w:val="none"/>
        </w:rPr>
        <w:t>月</w:t>
      </w:r>
      <w:r>
        <w:rPr>
          <w:rFonts w:hint="eastAsia" w:ascii="仿宋" w:hAnsi="仿宋" w:eastAsia="仿宋" w:cs="仿宋"/>
          <w:color w:val="0000FF"/>
          <w:sz w:val="24"/>
          <w:szCs w:val="24"/>
          <w:highlight w:val="none"/>
          <w:lang w:val="en-US" w:eastAsia="zh-CN"/>
        </w:rPr>
        <w:t>05</w:t>
      </w:r>
      <w:r>
        <w:rPr>
          <w:rFonts w:hint="eastAsia" w:ascii="仿宋" w:hAnsi="仿宋" w:eastAsia="仿宋" w:cs="仿宋"/>
          <w:color w:val="0000FF"/>
          <w:sz w:val="24"/>
          <w:szCs w:val="24"/>
          <w:highlight w:val="none"/>
        </w:rPr>
        <w:t>日</w:t>
      </w:r>
    </w:p>
    <w:p w14:paraId="2FDFF0FD"/>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2C28A4"/>
    <w:rsid w:val="3AA3262C"/>
    <w:rsid w:val="58ED49D4"/>
    <w:rsid w:val="652C2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12" w:lineRule="auto"/>
      <w:jc w:val="both"/>
    </w:pPr>
    <w:rPr>
      <w:rFonts w:ascii="Calibri" w:hAnsi="Calibri" w:eastAsia="宋体" w:cs="Calibri"/>
      <w:kern w:val="2"/>
      <w:sz w:val="21"/>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仿宋"/>
      <w:b/>
      <w:kern w:val="44"/>
      <w:sz w:val="28"/>
    </w:rPr>
  </w:style>
  <w:style w:type="paragraph" w:styleId="2">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style>
  <w:style w:type="paragraph" w:styleId="5">
    <w:name w:val="Plain Text"/>
    <w:basedOn w:val="1"/>
    <w:qFormat/>
    <w:uiPriority w:val="0"/>
    <w:pPr>
      <w:spacing w:line="240" w:lineRule="auto"/>
    </w:pPr>
    <w:rPr>
      <w:rFonts w:ascii="宋体" w:hAnsi="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2923</Words>
  <Characters>3349</Characters>
  <Lines>0</Lines>
  <Paragraphs>0</Paragraphs>
  <TotalTime>0</TotalTime>
  <ScaleCrop>false</ScaleCrop>
  <LinksUpToDate>false</LinksUpToDate>
  <CharactersWithSpaces>3367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2025-12-05T01:54:00Z</dcterms:created>
  <dc:creator>SLH</dc:creator>
  <cp:lastModifiedBy>SLH</cp:lastModifiedBy>
  <dcterms:modified xsi:type="dcterms:W3CDTF">2025-12-05T02:04:01Z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0462EE388CB74DC4B722ABE60D5109FF_11</vt:lpwstr>
  </property>
  <property fmtid="{D5CDD505-2E9C-101B-9397-08002B2CF9AE}" pid="4" name="KSOTemplateDocerSaveRecord">
    <vt:lpwstr>eyJoZGlkIjoiZTU3ZmZiYzY4MmEwZjZlZmQ2NTliZDhmYWE0MjE0OTciLCJ1c2VySWQiOiIyODQ3NTEyNjkifQ==</vt:lpwstr>
  </property>
</Properties>
</file>