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720" w:firstLineChars="200"/>
        <w:jc w:val="center"/>
        <w:rPr>
          <w:rFonts w:ascii="彩虹小标宋" w:hAnsi="宋体" w:eastAsia="彩虹小标宋" w:cs="Times New Roman"/>
          <w:bCs/>
          <w:snapToGrid w:val="0"/>
          <w:kern w:val="0"/>
          <w:sz w:val="36"/>
          <w:szCs w:val="36"/>
        </w:rPr>
      </w:pPr>
      <w:bookmarkStart w:id="0" w:name="PO_PURCHASE_REQUISITION_NAME"/>
      <w:r>
        <w:rPr>
          <w:rFonts w:hint="eastAsia" w:ascii="彩虹小标宋" w:hAnsi="宋体" w:eastAsia="彩虹小标宋" w:cs="Times New Roman"/>
          <w:bCs/>
          <w:snapToGrid w:val="0"/>
          <w:kern w:val="0"/>
          <w:sz w:val="36"/>
          <w:szCs w:val="36"/>
          <w:lang w:eastAsia="zh-CN"/>
        </w:rPr>
        <w:t>安全保卫部关于鹤壁分行安保类项目采购申请</w:t>
      </w:r>
      <w:bookmarkEnd w:id="0"/>
      <w:r>
        <w:rPr>
          <w:rFonts w:hint="eastAsia" w:ascii="彩虹小标宋" w:hAnsi="宋体" w:eastAsia="彩虹小标宋" w:cs="Times New Roman"/>
          <w:bCs/>
          <w:snapToGrid w:val="0"/>
          <w:kern w:val="0"/>
          <w:sz w:val="36"/>
          <w:szCs w:val="36"/>
        </w:rPr>
        <w:t>需求</w:t>
      </w:r>
    </w:p>
    <w:p>
      <w:pPr>
        <w:adjustRightInd w:val="0"/>
        <w:snapToGrid w:val="0"/>
        <w:spacing w:line="560" w:lineRule="exact"/>
        <w:ind w:firstLine="720" w:firstLineChars="200"/>
        <w:jc w:val="center"/>
        <w:rPr>
          <w:rFonts w:hint="eastAsia" w:ascii="彩虹小标宋" w:hAnsi="宋体" w:eastAsia="彩虹小标宋" w:cs="Times New Roman"/>
          <w:bCs/>
          <w:snapToGrid w:val="0"/>
          <w:kern w:val="0"/>
          <w:sz w:val="36"/>
          <w:szCs w:val="36"/>
          <w:lang w:eastAsia="zh-CN"/>
        </w:rPr>
      </w:pPr>
      <w:bookmarkStart w:id="1" w:name="PO_NEED_DEPT"/>
      <w:r>
        <w:rPr>
          <w:rFonts w:hint="eastAsia" w:ascii="彩虹小标宋" w:hAnsi="宋体" w:eastAsia="彩虹小标宋" w:cs="Times New Roman"/>
          <w:bCs/>
          <w:snapToGrid w:val="0"/>
          <w:kern w:val="0"/>
          <w:sz w:val="36"/>
          <w:szCs w:val="36"/>
          <w:lang w:eastAsia="zh-CN"/>
        </w:rPr>
        <w:t>建行河南省分行安全保卫部</w:t>
      </w:r>
      <w:bookmarkEnd w:id="1"/>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（一）具有独立法人资格，有效的营业执照。</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年）的经审计的财务报告或财务报表（新成立企业从成立日计算）</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（三）具有固定的办公场所、健全的组织管理机构。</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（四）</w:t>
      </w:r>
      <w:r>
        <w:rPr>
          <w:rStyle w:val="6"/>
          <w:rFonts w:hint="eastAsia" w:ascii="彩虹粗仿宋" w:hAnsi="微软雅黑" w:eastAsia="彩虹粗仿宋"/>
          <w:sz w:val="32"/>
          <w:szCs w:val="32"/>
        </w:rPr>
        <w:t>2021年1月1日以来</w:t>
      </w:r>
      <w:r>
        <w:rPr>
          <w:rFonts w:hint="eastAsia" w:ascii="彩虹粗仿宋" w:eastAsia="彩虹粗仿宋"/>
          <w:sz w:val="32"/>
          <w:szCs w:val="32"/>
        </w:rPr>
        <w:t>具有</w:t>
      </w:r>
      <w:r>
        <w:rPr>
          <w:rFonts w:hint="eastAsia" w:ascii="彩虹粗仿宋" w:eastAsia="彩虹粗仿宋"/>
          <w:sz w:val="32"/>
          <w:szCs w:val="32"/>
          <w:lang w:eastAsia="zh-CN"/>
        </w:rPr>
        <w:t>银行</w:t>
      </w:r>
      <w:r>
        <w:rPr>
          <w:rFonts w:hint="eastAsia" w:ascii="彩虹粗仿宋" w:eastAsia="彩虹粗仿宋"/>
          <w:sz w:val="32"/>
          <w:szCs w:val="32"/>
          <w:lang w:val="en-US" w:eastAsia="zh-CN"/>
        </w:rPr>
        <w:t>110联网报警服务、银行营业办公场所保安值守、武装守库、钞币运送</w:t>
      </w:r>
      <w:r>
        <w:rPr>
          <w:rFonts w:hint="eastAsia" w:ascii="彩虹粗仿宋" w:eastAsia="彩虹粗仿宋"/>
          <w:sz w:val="32"/>
          <w:szCs w:val="32"/>
        </w:rPr>
        <w:t>项目经验。</w:t>
      </w:r>
    </w:p>
    <w:p>
      <w:pPr>
        <w:keepNext w:val="0"/>
        <w:keepLines w:val="0"/>
        <w:pageBreakBefore w:val="0"/>
        <w:widowControl w:val="0"/>
        <w:numPr>
          <w:ilvl w:val="0"/>
          <w:numId w:val="1"/>
        </w:numPr>
        <w:kinsoku/>
        <w:wordWrap/>
        <w:overflowPunct/>
        <w:topLinePunct w:val="0"/>
        <w:autoSpaceDE/>
        <w:autoSpaceDN/>
        <w:bidi w:val="0"/>
        <w:spacing w:line="520"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keepNext w:val="0"/>
        <w:keepLines w:val="0"/>
        <w:pageBreakBefore w:val="0"/>
        <w:widowControl w:val="0"/>
        <w:kinsoku/>
        <w:wordWrap/>
        <w:overflowPunct/>
        <w:topLinePunct w:val="0"/>
        <w:autoSpaceDE/>
        <w:autoSpaceDN/>
        <w:bidi w:val="0"/>
        <w:adjustRightInd w:val="0"/>
        <w:snapToGrid w:val="0"/>
        <w:spacing w:line="560" w:lineRule="atLeast"/>
        <w:ind w:firstLine="640" w:firstLineChars="200"/>
        <w:textAlignment w:val="auto"/>
        <w:rPr>
          <w:rFonts w:ascii="彩虹粗仿宋" w:eastAsia="彩虹粗仿宋"/>
          <w:sz w:val="32"/>
        </w:rPr>
      </w:pPr>
      <w:r>
        <w:rPr>
          <w:rFonts w:hint="eastAsia" w:ascii="彩虹粗仿宋" w:eastAsia="彩虹粗仿宋"/>
          <w:sz w:val="32"/>
        </w:rPr>
        <w:t>（六）本项目不允许联合体投标，不允许分包或转包。</w:t>
      </w:r>
    </w:p>
    <w:p>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彩虹粗仿宋" w:eastAsia="彩虹粗仿宋"/>
          <w:sz w:val="32"/>
          <w:szCs w:val="32"/>
        </w:rPr>
      </w:pPr>
      <w:r>
        <w:rPr>
          <w:rFonts w:hint="eastAsia" w:ascii="彩虹粗仿宋" w:eastAsia="彩虹粗仿宋" w:hAnsiTheme="minorHAnsi" w:cstheme="minorBidi"/>
          <w:sz w:val="32"/>
          <w:szCs w:val="22"/>
        </w:rPr>
        <w:t>（七）</w:t>
      </w:r>
      <w:bookmarkStart w:id="2" w:name="_GoBack"/>
      <w:r>
        <w:rPr>
          <w:rFonts w:hint="eastAsia" w:ascii="彩虹粗仿宋" w:eastAsia="彩虹粗仿宋" w:hAnsiTheme="minorHAnsi" w:cstheme="minorBidi"/>
          <w:sz w:val="32"/>
          <w:szCs w:val="22"/>
        </w:rPr>
        <w:t>外商独资、中外合资、中外合作的公司不得参与</w:t>
      </w:r>
      <w:r>
        <w:rPr>
          <w:rFonts w:hint="eastAsia" w:ascii="彩虹粗仿宋" w:eastAsia="彩虹粗仿宋"/>
          <w:sz w:val="32"/>
        </w:rPr>
        <w:t>（根据保安服务管理条例第二十二条规定）</w:t>
      </w:r>
      <w:r>
        <w:rPr>
          <w:rFonts w:hint="eastAsia" w:ascii="彩虹粗仿宋" w:eastAsia="彩虹粗仿宋" w:hAnsiTheme="minorHAnsi" w:cstheme="minorBidi"/>
          <w:sz w:val="32"/>
          <w:szCs w:val="22"/>
        </w:rPr>
        <w:t>。</w:t>
      </w:r>
    </w:p>
    <w:bookmarkEnd w:id="2"/>
    <w:p>
      <w:pPr>
        <w:adjustRightInd w:val="0"/>
        <w:snapToGrid w:val="0"/>
        <w:spacing w:line="560" w:lineRule="exac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numPr>
          <w:ilvl w:val="0"/>
          <w:numId w:val="2"/>
        </w:numPr>
        <w:adjustRightInd w:val="0"/>
        <w:snapToGrid w:val="0"/>
        <w:spacing w:line="600" w:lineRule="exact"/>
        <w:ind w:firstLine="64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公安110联网报警服务项目</w:t>
      </w:r>
    </w:p>
    <w:p>
      <w:pPr>
        <w:numPr>
          <w:ilvl w:val="0"/>
          <w:numId w:val="2"/>
        </w:numPr>
        <w:adjustRightInd w:val="0"/>
        <w:snapToGrid w:val="0"/>
        <w:spacing w:line="600" w:lineRule="exact"/>
        <w:ind w:firstLine="64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安保服务项目</w:t>
      </w:r>
    </w:p>
    <w:p>
      <w:pPr>
        <w:numPr>
          <w:ilvl w:val="0"/>
          <w:numId w:val="2"/>
        </w:numPr>
        <w:adjustRightInd w:val="0"/>
        <w:snapToGrid w:val="0"/>
        <w:spacing w:line="600" w:lineRule="exact"/>
        <w:ind w:firstLine="64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全辖钞币运送服务项目</w:t>
      </w:r>
    </w:p>
    <w:p>
      <w:pPr>
        <w:numPr>
          <w:ilvl w:val="0"/>
          <w:numId w:val="2"/>
        </w:numPr>
        <w:adjustRightInd w:val="0"/>
        <w:snapToGrid w:val="0"/>
        <w:spacing w:line="600" w:lineRule="exact"/>
        <w:ind w:firstLine="64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6"/>
          <w:szCs w:val="36"/>
        </w:rPr>
        <w:t>金库守护服务</w:t>
      </w:r>
      <w:r>
        <w:rPr>
          <w:rFonts w:hint="eastAsia" w:ascii="彩虹粗仿宋" w:hAnsi="宋体" w:eastAsia="彩虹粗仿宋" w:cs="Times New Roman"/>
          <w:snapToGrid w:val="0"/>
          <w:kern w:val="0"/>
          <w:sz w:val="32"/>
          <w:szCs w:val="32"/>
        </w:rPr>
        <w:t>项目</w:t>
      </w:r>
    </w:p>
    <w:p>
      <w:pPr>
        <w:numPr>
          <w:ilvl w:val="0"/>
          <w:numId w:val="2"/>
        </w:numPr>
        <w:adjustRightInd w:val="0"/>
        <w:snapToGrid w:val="0"/>
        <w:spacing w:line="600" w:lineRule="exact"/>
        <w:ind w:firstLine="64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赴省行调解款服务项目</w:t>
      </w:r>
    </w:p>
    <w:p>
      <w:pPr>
        <w:numPr>
          <w:ilvl w:val="0"/>
          <w:numId w:val="3"/>
        </w:num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kern w:val="0"/>
          <w:sz w:val="32"/>
          <w:szCs w:val="32"/>
        </w:rPr>
        <w:t>公安110联网报警服务项目：</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鹤壁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kern w:val="0"/>
          <w:sz w:val="32"/>
          <w:szCs w:val="32"/>
        </w:rPr>
        <w:t>安保服务项目：</w:t>
      </w:r>
    </w:p>
    <w:p>
      <w:pPr>
        <w:adjustRightInd w:val="0"/>
        <w:snapToGrid w:val="0"/>
        <w:spacing w:line="600" w:lineRule="exact"/>
        <w:ind w:firstLine="640" w:firstLineChars="200"/>
        <w:jc w:val="left"/>
        <w:rPr>
          <w:rFonts w:ascii="彩虹粗仿宋" w:hAnsi="宋体" w:eastAsia="彩虹粗仿宋" w:cs="Times New Roman"/>
          <w:snapToGrid w:val="0"/>
          <w:sz w:val="32"/>
          <w:szCs w:val="32"/>
        </w:rPr>
      </w:pPr>
      <w:r>
        <w:rPr>
          <w:rFonts w:hint="eastAsia" w:ascii="Times New Roman" w:hAnsi="Calibri" w:eastAsia="彩虹粗仿宋" w:cs="宋体"/>
          <w:color w:val="000000"/>
          <w:kern w:val="0"/>
          <w:sz w:val="32"/>
          <w:szCs w:val="32"/>
        </w:rPr>
        <w:t>鹤壁分行消防值守服务、网点安保及办公楼值守服务、监控中心值守等安保服务，</w:t>
      </w:r>
      <w:r>
        <w:rPr>
          <w:rFonts w:hint="eastAsia" w:ascii="彩虹粗仿宋" w:hAnsi="宋体" w:eastAsia="彩虹粗仿宋" w:cs="Times New Roman"/>
          <w:snapToGrid w:val="0"/>
          <w:sz w:val="32"/>
          <w:szCs w:val="32"/>
        </w:rPr>
        <w:t>熟悉和掌握本系统的工作原理和操作规程，熟悉各种按键的功能，熟练操作各种系统，</w:t>
      </w:r>
      <w:r>
        <w:rPr>
          <w:rFonts w:hint="eastAsia" w:ascii="彩虹粗仿宋" w:hAnsi="彩虹粗仿宋" w:eastAsia="彩虹粗仿宋" w:cs="彩虹粗仿宋"/>
          <w:snapToGrid w:val="0"/>
          <w:kern w:val="0"/>
          <w:sz w:val="32"/>
          <w:szCs w:val="32"/>
        </w:rPr>
        <w:t>保障设备良好运行。</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kern w:val="0"/>
          <w:sz w:val="32"/>
          <w:szCs w:val="32"/>
        </w:rPr>
        <w:t>全辖钞币运送服务项目：</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本次集中采购项目为鹤壁分行城区金库1个、全辖15个营业网点、15个离行式自助银行加钞、清机，武装守库押运服务。</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4.</w:t>
      </w:r>
      <w:r>
        <w:rPr>
          <w:rFonts w:hint="eastAsia" w:ascii="彩虹粗仿宋" w:hAnsi="宋体" w:eastAsia="彩虹粗仿宋" w:cs="Times New Roman"/>
          <w:snapToGrid w:val="0"/>
          <w:kern w:val="0"/>
          <w:sz w:val="32"/>
          <w:szCs w:val="32"/>
        </w:rPr>
        <w:t>金库守护服务项目：</w:t>
      </w:r>
    </w:p>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宋体"/>
          <w:color w:val="000000" w:themeColor="text1"/>
          <w:sz w:val="32"/>
          <w:szCs w:val="32"/>
          <w14:textFill>
            <w14:solidFill>
              <w14:schemeClr w14:val="tx1"/>
            </w14:solidFill>
          </w14:textFill>
        </w:rPr>
        <w:t>金库每天24小时不间断的双人武装守卫</w:t>
      </w:r>
      <w:r>
        <w:rPr>
          <w:rFonts w:hint="eastAsia" w:ascii="彩虹粗仿宋" w:hAnsi="微软雅黑" w:eastAsia="彩虹粗仿宋" w:cs="宋体"/>
          <w:color w:val="000000" w:themeColor="text1"/>
          <w:kern w:val="0"/>
          <w:sz w:val="32"/>
          <w:szCs w:val="32"/>
          <w14:textFill>
            <w14:solidFill>
              <w14:schemeClr w14:val="tx1"/>
            </w14:solidFill>
          </w14:textFill>
        </w:rPr>
        <w:t>；外包服务人员经过专业培训，符合武装守护要求，持证上岗。</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5.</w:t>
      </w:r>
      <w:r>
        <w:rPr>
          <w:rFonts w:hint="eastAsia" w:ascii="彩虹粗仿宋" w:hAnsi="宋体" w:eastAsia="彩虹粗仿宋" w:cs="Times New Roman"/>
          <w:snapToGrid w:val="0"/>
          <w:kern w:val="0"/>
          <w:sz w:val="32"/>
          <w:szCs w:val="32"/>
        </w:rPr>
        <w:t>赴省行调解款服务项目：</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Times New Roman" w:eastAsia="彩虹粗仿宋" w:cs="Times New Roman"/>
          <w:color w:val="000000" w:themeColor="text1"/>
          <w:sz w:val="32"/>
          <w:szCs w:val="32"/>
          <w14:textFill>
            <w14:solidFill>
              <w14:schemeClr w14:val="tx1"/>
            </w14:solidFill>
          </w14:textFill>
        </w:rPr>
        <w:t>临时押运业务点配送外币、实物黄金（鹤壁市到郑州），到省分行领取重要空白凭证。服务应在工作期间随叫随到。</w:t>
      </w:r>
    </w:p>
    <w:p>
      <w:pPr>
        <w:numPr>
          <w:ilvl w:val="0"/>
          <w:numId w:val="4"/>
        </w:num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服务团队要求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粗仿宋" w:hAnsi="彩虹粗仿宋" w:eastAsia="彩虹粗仿宋" w:cs="彩虹粗仿宋"/>
          <w:kern w:val="0"/>
          <w:sz w:val="32"/>
          <w:szCs w:val="32"/>
        </w:rPr>
        <w:t>（一）</w:t>
      </w:r>
      <w:r>
        <w:rPr>
          <w:rFonts w:hint="eastAsia" w:ascii="彩虹粗仿宋" w:hAnsi="宋体" w:eastAsia="彩虹粗仿宋" w:cs="Times New Roman"/>
          <w:snapToGrid w:val="0"/>
          <w:kern w:val="0"/>
          <w:sz w:val="32"/>
          <w:szCs w:val="32"/>
        </w:rPr>
        <w:t>公安110联网报警服务项目：</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lang w:val="en-US" w:eastAsia="zh-CN"/>
        </w:rPr>
        <w:t>1.</w:t>
      </w:r>
      <w:r>
        <w:rPr>
          <w:rFonts w:hint="eastAsia" w:ascii="彩虹粗仿宋" w:hAnsi="彩虹粗仿宋" w:eastAsia="彩虹粗仿宋" w:cs="彩虹粗仿宋"/>
          <w:kern w:val="0"/>
          <w:sz w:val="32"/>
          <w:szCs w:val="32"/>
        </w:rPr>
        <w:t>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lang w:val="en-US" w:eastAsia="zh-CN"/>
        </w:rPr>
        <w:t>2.</w:t>
      </w:r>
      <w:r>
        <w:rPr>
          <w:rFonts w:hint="eastAsia" w:ascii="彩虹粗仿宋" w:hAnsi="彩虹粗仿宋" w:eastAsia="彩虹粗仿宋" w:cs="彩虹粗仿宋"/>
          <w:kern w:val="0"/>
          <w:sz w:val="32"/>
          <w:szCs w:val="32"/>
        </w:rPr>
        <w:t>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lang w:val="en-US" w:eastAsia="zh-CN"/>
        </w:rPr>
        <w:t>3.</w:t>
      </w:r>
      <w:r>
        <w:rPr>
          <w:rFonts w:hint="eastAsia" w:ascii="彩虹粗仿宋" w:hAnsi="彩虹粗仿宋" w:eastAsia="彩虹粗仿宋" w:cs="彩虹粗仿宋"/>
          <w:kern w:val="0"/>
          <w:sz w:val="32"/>
          <w:szCs w:val="32"/>
        </w:rPr>
        <w:t>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lang w:val="en-US" w:eastAsia="zh-CN"/>
        </w:rPr>
        <w:t>4.</w:t>
      </w:r>
      <w:r>
        <w:rPr>
          <w:rFonts w:hint="eastAsia" w:ascii="彩虹粗仿宋" w:hAnsi="彩虹粗仿宋" w:eastAsia="彩虹粗仿宋" w:cs="彩虹粗仿宋"/>
          <w:kern w:val="0"/>
          <w:sz w:val="32"/>
          <w:szCs w:val="32"/>
        </w:rPr>
        <w:t>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lang w:val="en-US" w:eastAsia="zh-CN"/>
        </w:rPr>
        <w:t>5.</w:t>
      </w:r>
      <w:r>
        <w:rPr>
          <w:rFonts w:hint="eastAsia" w:ascii="彩虹粗仿宋" w:hAnsi="彩虹粗仿宋" w:eastAsia="彩虹粗仿宋" w:cs="彩虹粗仿宋"/>
          <w:kern w:val="0"/>
          <w:sz w:val="32"/>
          <w:szCs w:val="32"/>
        </w:rPr>
        <w:t>团队人员具备一定的专业技能，能正确处理服务中出现的各种情况并进行有效处置。</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eastAsia="zh-CN"/>
        </w:rPr>
        <w:t>（二）</w:t>
      </w:r>
      <w:r>
        <w:rPr>
          <w:rFonts w:hint="eastAsia" w:ascii="彩虹粗仿宋" w:hAnsi="宋体" w:eastAsia="彩虹粗仿宋" w:cs="Times New Roman"/>
          <w:snapToGrid w:val="0"/>
          <w:kern w:val="0"/>
          <w:sz w:val="32"/>
          <w:szCs w:val="32"/>
        </w:rPr>
        <w:t>安保服务项目:</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本次消防值守服务内容是鹤壁分行办公楼消防值守服务。</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 xml:space="preserve">1、遵守控制中心的各项规章制度； </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2、熟悉和掌握本系统的工作原理和操作规程，熟悉各种按键的功能，熟练操作各种系统，；</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3、负责对消防设施的每日检查，并认真填写《消防控制中心值班记录》和《系统每日运行登记表》，并定期对各种消防设施进行检查，保证自动消防设施的完好有效；</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4、及时发现和处理设备故障，并填写《系统每日运行登记表》；</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5、掌握和了解消防设施的运行、误报警、故障等有关情况；</w:t>
      </w:r>
    </w:p>
    <w:p>
      <w:pPr>
        <w:adjustRightInd w:val="0"/>
        <w:snapToGrid w:val="0"/>
        <w:spacing w:line="560" w:lineRule="atLeast"/>
        <w:ind w:firstLine="480" w:firstLineChars="15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6、熟练掌握《消防控制中心火灾事故紧急处理程序》，火灾情况下能够按照程序开展灭火救援工作。</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eastAsia="zh-CN"/>
        </w:rPr>
        <w:t>（三）</w:t>
      </w:r>
      <w:r>
        <w:rPr>
          <w:rFonts w:hint="eastAsia" w:ascii="彩虹粗仿宋" w:hAnsi="宋体" w:eastAsia="彩虹粗仿宋" w:cs="Times New Roman"/>
          <w:snapToGrid w:val="0"/>
          <w:kern w:val="0"/>
          <w:sz w:val="32"/>
          <w:szCs w:val="32"/>
        </w:rPr>
        <w:t>全辖钞币运送服务项目</w:t>
      </w:r>
    </w:p>
    <w:p>
      <w:pPr>
        <w:keepNext w:val="0"/>
        <w:keepLines w:val="0"/>
        <w:pageBreakBefore w:val="0"/>
        <w:widowControl w:val="0"/>
        <w:kinsoku/>
        <w:wordWrap/>
        <w:overflowPunct/>
        <w:topLinePunct w:val="0"/>
        <w:autoSpaceDE/>
        <w:autoSpaceDN/>
        <w:bidi w:val="0"/>
        <w:ind w:firstLine="640" w:firstLineChars="200"/>
        <w:textAlignment w:val="auto"/>
        <w:rPr>
          <w:rFonts w:ascii="彩虹粗仿宋" w:hAnsi="微软雅黑" w:eastAsia="彩虹粗仿宋" w:cs="宋体"/>
          <w:color w:val="000000" w:themeColor="text1"/>
          <w:kern w:val="0"/>
          <w:sz w:val="32"/>
          <w:szCs w:val="32"/>
          <w14:textFill>
            <w14:solidFill>
              <w14:schemeClr w14:val="tx1"/>
            </w14:solidFill>
          </w14:textFill>
        </w:rPr>
      </w:pPr>
      <w:r>
        <w:rPr>
          <w:rFonts w:hint="eastAsia" w:ascii="彩虹粗仿宋" w:hAnsi="微软雅黑" w:eastAsia="彩虹粗仿宋" w:cs="宋体"/>
          <w:color w:val="000000" w:themeColor="text1"/>
          <w:kern w:val="0"/>
          <w:sz w:val="32"/>
          <w:szCs w:val="32"/>
          <w14:textFill>
            <w14:solidFill>
              <w14:schemeClr w14:val="tx1"/>
            </w14:solidFill>
          </w14:textFill>
        </w:rPr>
        <w:t>根据鹤壁分行全辖1个金库、15个营业网点、15个离行式自助银行的武装押运服务需求，经过前期到所辖机构进行需求调研、分析、汇总，反馈总体情况和初步结果，并与守押公司进行沟通，拟建议年度完成我行鹤壁分行的押运服务工作需求：一是符合《保安服务管理条例》的要求，由省公安厅批准许可的武装押运服务资质，开展武装押运服务5年以上；二是押运公司5台制式押运车组，每车组不低于5人（含2名押运人员、2名款箱员和1名司机），总数不低于25人（不含守押公司驻行联系人）三是驻行车组及人员按照我行的要求完成每次的任务，遵章守纪，合规履职；四是守押公司承诺为我行车组人员提供营运期间的支持保障及应急工作。</w:t>
      </w:r>
    </w:p>
    <w:p>
      <w:pPr>
        <w:keepNext w:val="0"/>
        <w:keepLines w:val="0"/>
        <w:pageBreakBefore w:val="0"/>
        <w:widowControl w:val="0"/>
        <w:kinsoku/>
        <w:wordWrap/>
        <w:overflowPunct/>
        <w:topLinePunct w:val="0"/>
        <w:autoSpaceDE/>
        <w:autoSpaceDN/>
        <w:bidi w:val="0"/>
        <w:ind w:firstLine="640" w:firstLineChars="200"/>
        <w:textAlignment w:val="auto"/>
        <w:rPr>
          <w:rFonts w:ascii="彩虹粗仿宋" w:hAnsi="微软雅黑" w:eastAsia="彩虹粗仿宋" w:cs="宋体"/>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kern w:val="0"/>
          <w:sz w:val="32"/>
          <w:szCs w:val="36"/>
          <w:lang w:eastAsia="zh-CN"/>
        </w:rPr>
        <w:t>（四）</w:t>
      </w:r>
      <w:r>
        <w:rPr>
          <w:rFonts w:hint="eastAsia" w:ascii="彩虹粗仿宋" w:hAnsi="宋体" w:eastAsia="彩虹粗仿宋" w:cs="Times New Roman"/>
          <w:snapToGrid w:val="0"/>
          <w:kern w:val="0"/>
          <w:sz w:val="32"/>
          <w:szCs w:val="36"/>
        </w:rPr>
        <w:t>金库守护服务</w:t>
      </w:r>
      <w:r>
        <w:rPr>
          <w:rFonts w:hint="eastAsia" w:ascii="彩虹粗仿宋" w:hAnsi="宋体" w:eastAsia="彩虹粗仿宋" w:cs="Times New Roman"/>
          <w:snapToGrid w:val="0"/>
          <w:kern w:val="0"/>
          <w:sz w:val="32"/>
          <w:szCs w:val="32"/>
        </w:rPr>
        <w:t>项目：</w:t>
      </w:r>
    </w:p>
    <w:p>
      <w:pPr>
        <w:keepNext w:val="0"/>
        <w:keepLines w:val="0"/>
        <w:pageBreakBefore w:val="0"/>
        <w:widowControl w:val="0"/>
        <w:kinsoku/>
        <w:wordWrap/>
        <w:overflowPunct/>
        <w:topLinePunct w:val="0"/>
        <w:autoSpaceDE/>
        <w:autoSpaceDN/>
        <w:bidi w:val="0"/>
        <w:ind w:firstLine="640" w:firstLineChars="200"/>
        <w:textAlignment w:val="auto"/>
        <w:rPr>
          <w:rFonts w:ascii="彩虹粗仿宋" w:hAnsi="微软雅黑" w:eastAsia="彩虹粗仿宋" w:cs="宋体"/>
          <w:color w:val="000000" w:themeColor="text1"/>
          <w:kern w:val="0"/>
          <w:sz w:val="32"/>
          <w:szCs w:val="32"/>
          <w14:textFill>
            <w14:solidFill>
              <w14:schemeClr w14:val="tx1"/>
            </w14:solidFill>
          </w14:textFill>
        </w:rPr>
      </w:pPr>
      <w:r>
        <w:rPr>
          <w:rFonts w:hint="eastAsia" w:ascii="彩虹粗仿宋" w:hAnsi="微软雅黑" w:eastAsia="彩虹粗仿宋" w:cs="宋体"/>
          <w:color w:val="000000" w:themeColor="text1"/>
          <w:kern w:val="0"/>
          <w:sz w:val="32"/>
          <w:szCs w:val="32"/>
          <w14:textFill>
            <w14:solidFill>
              <w14:schemeClr w14:val="tx1"/>
            </w14:solidFill>
          </w14:textFill>
        </w:rPr>
        <w:t>8名人员</w:t>
      </w:r>
      <w:r>
        <w:rPr>
          <w:rFonts w:hint="eastAsia" w:ascii="彩虹粗仿宋" w:hAnsi="宋体" w:eastAsia="彩虹粗仿宋" w:cs="宋体"/>
          <w:color w:val="000000" w:themeColor="text1"/>
          <w:sz w:val="32"/>
          <w:szCs w:val="32"/>
          <w14:textFill>
            <w14:solidFill>
              <w14:schemeClr w14:val="tx1"/>
            </w14:solidFill>
          </w14:textFill>
        </w:rPr>
        <w:t>金库每天24小时不间断的双人武装守卫</w:t>
      </w:r>
      <w:r>
        <w:rPr>
          <w:rFonts w:hint="eastAsia" w:ascii="彩虹粗仿宋" w:hAnsi="微软雅黑" w:eastAsia="彩虹粗仿宋" w:cs="宋体"/>
          <w:color w:val="000000" w:themeColor="text1"/>
          <w:kern w:val="0"/>
          <w:sz w:val="32"/>
          <w:szCs w:val="32"/>
          <w14:textFill>
            <w14:solidFill>
              <w14:schemeClr w14:val="tx1"/>
            </w14:solidFill>
          </w14:textFill>
        </w:rPr>
        <w:t>；外包服务人员经过专业培训，符合武装守护要求。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eastAsia="zh-CN"/>
        </w:rPr>
        <w:t>（五）</w:t>
      </w:r>
      <w:r>
        <w:rPr>
          <w:rFonts w:hint="eastAsia" w:ascii="彩虹粗仿宋" w:hAnsi="宋体" w:eastAsia="彩虹粗仿宋" w:cs="Times New Roman"/>
          <w:snapToGrid w:val="0"/>
          <w:kern w:val="0"/>
          <w:sz w:val="32"/>
          <w:szCs w:val="32"/>
        </w:rPr>
        <w:t>赴省行调解款服务项目：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彩虹粗仿宋" w:hAnsi="彩虹粗仿宋" w:eastAsia="彩虹粗仿宋" w:cs="彩虹粗仿宋"/>
          <w:sz w:val="32"/>
          <w:szCs w:val="32"/>
        </w:rPr>
      </w:pPr>
      <w:r>
        <w:rPr>
          <w:rFonts w:hint="eastAsia" w:ascii="彩虹粗仿宋" w:hAnsi="Times New Roman" w:eastAsia="彩虹粗仿宋" w:cs="Times New Roman"/>
          <w:color w:val="000000" w:themeColor="text1"/>
          <w:sz w:val="32"/>
          <w:szCs w:val="32"/>
          <w14:textFill>
            <w14:solidFill>
              <w14:schemeClr w14:val="tx1"/>
            </w14:solidFill>
          </w14:textFill>
        </w:rPr>
        <w:t>临时押运业务点配送外币、实物黄金（鹤壁市到郑州），到省分行领取重要空白凭证。服务应在工作期间随叫随到。</w:t>
      </w:r>
    </w:p>
    <w:p>
      <w:pPr>
        <w:adjustRightInd w:val="0"/>
        <w:snapToGrid w:val="0"/>
        <w:spacing w:line="560" w:lineRule="exact"/>
        <w:ind w:firstLine="640" w:firstLineChars="200"/>
        <w:rPr>
          <w:rFonts w:ascii="彩虹粗仿宋" w:hAnsi="彩虹粗仿宋" w:eastAsia="彩虹粗仿宋" w:cs="彩虹粗仿宋"/>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安保类服务项目过程中均涉及服务人员的使用和管理，我行具体负责服务人员的业务培训和规范操作，指导、监督服务人员按章办事，一是安保岗位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（1）双方按照约定明确双方责任，建立健全安全责任制，完善双方沟通协作机制。提供维护安保类服务项目的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560" w:lineRule="exact"/>
        <w:ind w:firstLine="640" w:firstLineChars="200"/>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单点报警主机联网率未达到100%,探测设备故障不能在24小时内解决按“不合格”，扣除该点报警服务费。 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600" w:lineRule="exact"/>
        <w:ind w:firstLine="640" w:firstLineChars="200"/>
        <w:jc w:val="left"/>
        <w:rPr>
          <w:rFonts w:ascii="彩虹粗仿宋" w:hAnsi="宋体" w:eastAsia="彩虹粗仿宋" w:cs="Times New Roman"/>
          <w:kern w:val="0"/>
          <w:sz w:val="32"/>
          <w:szCs w:val="32"/>
        </w:rPr>
      </w:pPr>
      <w:r>
        <w:rPr>
          <w:rFonts w:hint="eastAsia" w:ascii="彩虹粗仿宋" w:hAnsi="黑体" w:eastAsia="彩虹粗仿宋" w:cs="Times New Roman"/>
          <w:sz w:val="32"/>
          <w:szCs w:val="32"/>
          <w:lang w:val="en-US" w:eastAsia="zh-CN"/>
        </w:rPr>
        <w:t>2.</w:t>
      </w:r>
      <w:r>
        <w:rPr>
          <w:rFonts w:hint="eastAsia" w:ascii="彩虹粗仿宋" w:hAnsi="黑体" w:eastAsia="彩虹粗仿宋" w:cs="Times New Roman"/>
          <w:sz w:val="32"/>
          <w:szCs w:val="32"/>
        </w:rPr>
        <w:t>根据《中国建设银行营业办公场所保安值勤操作规程》有关规定，依据《XX月营业网点保安服务测评表》（见附件），每月由我行按照“合格”、“基本合格”、“不合格”进行测评考核。</w:t>
      </w:r>
      <w:r>
        <w:rPr>
          <w:rFonts w:hint="eastAsia" w:ascii="彩虹粗仿宋" w:hAnsi="Times New Roman" w:eastAsia="彩虹粗仿宋" w:cs="Times New Roman"/>
          <w:sz w:val="32"/>
          <w:szCs w:val="32"/>
        </w:rPr>
        <w:t>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w:t>
      </w:r>
      <w:r>
        <w:rPr>
          <w:rFonts w:hint="eastAsia" w:ascii="彩虹粗仿宋" w:hAnsi="宋体" w:eastAsia="彩虹粗仿宋" w:cs="Times New Roman"/>
          <w:kern w:val="0"/>
          <w:sz w:val="32"/>
          <w:szCs w:val="32"/>
        </w:rPr>
        <w:t>合格档次支付全额服务费用，基本合格档次每岗每月调减服务费用50元，不合格档次每岗每月调减服务费用100元，并进行约谈，连续三次不合格我方权终止合同。</w:t>
      </w:r>
    </w:p>
    <w:p>
      <w:pPr>
        <w:spacing w:line="600" w:lineRule="exact"/>
        <w:ind w:firstLine="640" w:firstLineChars="200"/>
        <w:jc w:val="left"/>
        <w:rPr>
          <w:rFonts w:ascii="彩虹粗仿宋" w:hAnsi="宋体" w:eastAsia="彩虹粗仿宋"/>
          <w:sz w:val="32"/>
          <w:szCs w:val="32"/>
        </w:rPr>
      </w:pPr>
      <w:r>
        <w:rPr>
          <w:rFonts w:hint="eastAsia" w:ascii="彩虹粗仿宋" w:hAnsi="彩虹粗仿宋" w:eastAsia="彩虹粗仿宋" w:cs="彩虹粗仿宋"/>
          <w:snapToGrid w:val="0"/>
          <w:kern w:val="0"/>
          <w:sz w:val="32"/>
          <w:szCs w:val="32"/>
          <w:lang w:val="en-US" w:eastAsia="zh-CN"/>
        </w:rPr>
        <w:t>3.</w:t>
      </w: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adjustRightInd w:val="0"/>
        <w:snapToGrid w:val="0"/>
        <w:spacing w:line="600" w:lineRule="exact"/>
        <w:ind w:firstLine="640" w:firstLineChars="200"/>
        <w:rPr>
          <w:rFonts w:ascii="彩虹粗仿宋" w:hAnsi="宋体" w:eastAsia="彩虹粗仿宋" w:cs="Times New Roman"/>
          <w:kern w:val="0"/>
          <w:sz w:val="32"/>
          <w:szCs w:val="32"/>
        </w:rPr>
      </w:pPr>
      <w:r>
        <w:rPr>
          <w:rFonts w:hint="eastAsia" w:ascii="彩虹粗仿宋" w:hAnsi="彩虹粗仿宋" w:eastAsia="彩虹粗仿宋" w:cs="彩虹粗仿宋"/>
          <w:snapToGrid w:val="0"/>
          <w:kern w:val="0"/>
          <w:sz w:val="32"/>
          <w:szCs w:val="32"/>
          <w:lang w:val="en-US" w:eastAsia="zh-CN"/>
        </w:rPr>
        <w:t>4.</w:t>
      </w:r>
      <w:r>
        <w:rPr>
          <w:rFonts w:hint="eastAsia" w:ascii="彩虹粗仿宋" w:hAnsi="Times New Roman" w:eastAsia="彩虹粗仿宋" w:cs="Times New Roman"/>
          <w:kern w:val="0"/>
          <w:sz w:val="32"/>
          <w:szCs w:val="32"/>
        </w:rPr>
        <w:t>每月依据</w:t>
      </w:r>
      <w:r>
        <w:rPr>
          <w:rFonts w:hint="eastAsia" w:ascii="彩虹粗仿宋" w:hAnsi="黑体" w:eastAsia="彩虹粗仿宋" w:cs="Times New Roman"/>
          <w:kern w:val="0"/>
          <w:sz w:val="32"/>
          <w:szCs w:val="32"/>
        </w:rPr>
        <w:t>《</w:t>
      </w:r>
      <w:r>
        <w:rPr>
          <w:rFonts w:hint="eastAsia" w:ascii="彩虹粗仿宋" w:hAnsi="Times New Roman" w:eastAsia="彩虹粗仿宋" w:cs="Times New Roman"/>
          <w:kern w:val="0"/>
          <w:sz w:val="32"/>
          <w:szCs w:val="32"/>
        </w:rPr>
        <w:t>*月监控中心值守服务测评表</w:t>
      </w:r>
      <w:r>
        <w:rPr>
          <w:rFonts w:hint="eastAsia" w:ascii="彩虹粗仿宋" w:hAnsi="黑体" w:eastAsia="彩虹粗仿宋" w:cs="Times New Roman"/>
          <w:kern w:val="0"/>
          <w:sz w:val="32"/>
          <w:szCs w:val="32"/>
        </w:rPr>
        <w:t>》</w:t>
      </w:r>
      <w:r>
        <w:rPr>
          <w:rFonts w:hint="eastAsia" w:ascii="彩虹粗仿宋" w:hAnsi="Times New Roman" w:eastAsia="彩虹粗仿宋" w:cs="Times New Roman"/>
          <w:kern w:val="0"/>
          <w:sz w:val="32"/>
          <w:szCs w:val="32"/>
        </w:rPr>
        <w:t>的打分情况，</w:t>
      </w:r>
      <w:r>
        <w:rPr>
          <w:rFonts w:hint="eastAsia" w:ascii="彩虹粗仿宋" w:hAnsi="黑体" w:eastAsia="彩虹粗仿宋" w:cs="Times New Roman"/>
          <w:kern w:val="0"/>
          <w:sz w:val="32"/>
          <w:szCs w:val="32"/>
        </w:rPr>
        <w:t>由我行按照“合格”、“基本合格”、“不合格”进行测评考核。</w:t>
      </w:r>
      <w:r>
        <w:rPr>
          <w:rFonts w:hint="eastAsia" w:ascii="彩虹粗仿宋" w:hAnsi="宋体" w:cs="Times New Roman"/>
          <w:kern w:val="0"/>
          <w:sz w:val="32"/>
          <w:szCs w:val="32"/>
          <w:lang w:eastAsia="zh-CN"/>
        </w:rPr>
        <w:t>每月累计</w:t>
      </w:r>
      <w:r>
        <w:rPr>
          <w:rFonts w:hint="eastAsia" w:ascii="彩虹粗仿宋" w:hAnsi="宋体" w:eastAsia="彩虹粗仿宋" w:cs="Times New Roman"/>
          <w:kern w:val="0"/>
          <w:sz w:val="32"/>
          <w:szCs w:val="32"/>
        </w:rPr>
        <w:t>违规10次以下为合格；10次（不含）以上20次以下为基本合格；20次（不含）以上为不合格</w:t>
      </w:r>
      <w:r>
        <w:rPr>
          <w:rFonts w:hint="eastAsia" w:ascii="彩虹粗仿宋" w:hAnsi="宋体" w:cs="Times New Roman"/>
          <w:kern w:val="0"/>
          <w:sz w:val="32"/>
          <w:szCs w:val="32"/>
          <w:lang w:eastAsia="zh-CN"/>
        </w:rPr>
        <w:t>。</w:t>
      </w:r>
      <w:r>
        <w:rPr>
          <w:rFonts w:hint="eastAsia" w:ascii="彩虹粗仿宋" w:hAnsi="宋体" w:eastAsia="彩虹粗仿宋" w:cs="Times New Roman"/>
          <w:kern w:val="0"/>
          <w:sz w:val="32"/>
          <w:szCs w:val="32"/>
        </w:rPr>
        <w:t>按合格、基本合格、不合格三个档次支付服务费用。合格档次支付全额服务费用，基本合格、不合格档次所有岗位均分别调减50元、100元服务费用支付，并进行约谈，连续三次不合格甲方有权终止合同。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彩虹粗仿宋" w:eastAsia="彩虹粗仿宋" w:cs="彩虹粗仿宋"/>
          <w:snapToGrid w:val="0"/>
          <w:kern w:val="0"/>
          <w:sz w:val="32"/>
          <w:szCs w:val="32"/>
          <w:lang w:val="en-US" w:eastAsia="zh-CN"/>
        </w:rPr>
        <w:t>5.</w:t>
      </w:r>
      <w:r>
        <w:rPr>
          <w:rFonts w:hint="eastAsia" w:ascii="彩虹粗仿宋" w:hAnsi="微软雅黑" w:cs="宋体"/>
          <w:kern w:val="0"/>
          <w:sz w:val="32"/>
          <w:szCs w:val="32"/>
          <w:lang w:eastAsia="zh-CN"/>
        </w:rPr>
        <w:t>安全保卫部门</w:t>
      </w:r>
      <w:r>
        <w:rPr>
          <w:rFonts w:hint="eastAsia" w:ascii="彩虹粗仿宋" w:hAnsi="微软雅黑" w:eastAsia="彩虹粗仿宋" w:cs="宋体"/>
          <w:kern w:val="0"/>
          <w:sz w:val="32"/>
          <w:szCs w:val="32"/>
        </w:rPr>
        <w:t>根据《中华人民共和国消防法》和《建筑消防设施的维护管理》（GB25201-2010）等消防法律法规的规定和</w:t>
      </w:r>
      <w:r>
        <w:rPr>
          <w:rFonts w:hint="eastAsia" w:ascii="彩虹粗仿宋" w:hAnsi="Times New Roman" w:eastAsia="彩虹粗仿宋" w:cs="Times New Roman"/>
          <w:kern w:val="0"/>
          <w:sz w:val="32"/>
          <w:szCs w:val="32"/>
        </w:rPr>
        <w:t>《河南省消防控制室管理制度》有关规定，依据《*月消防控制室值守服务测评表》，</w:t>
      </w:r>
      <w:r>
        <w:rPr>
          <w:rFonts w:hint="eastAsia" w:ascii="彩虹粗仿宋" w:hAnsi="宋体" w:eastAsia="彩虹粗仿宋" w:cs="Times New Roman"/>
          <w:kern w:val="0"/>
          <w:sz w:val="32"/>
          <w:szCs w:val="32"/>
        </w:rPr>
        <w:t>根据测评情况对服务公司进行综合评价，评分在90分以上为合格、80分以上90分（不含）以下为基本合格、80分（不含）以下为不合格，按合格、基本合格、不合格三个档次支付服务费用。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鹤壁分行网点、自助、金库、档案库房等报警服务点，提供监控、处置、维护等服务，58点位。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sz w:val="32"/>
          <w:szCs w:val="32"/>
        </w:rPr>
        <w:t>消防值守需配备6岗位。</w:t>
      </w:r>
      <w:r>
        <w:rPr>
          <w:rFonts w:ascii="彩虹粗仿宋" w:hAnsi="Times New Roman" w:eastAsia="彩虹粗仿宋"/>
          <w:sz w:val="32"/>
          <w:szCs w:val="32"/>
        </w:rPr>
        <w:t>监控中心值守</w:t>
      </w:r>
      <w:r>
        <w:rPr>
          <w:rFonts w:hint="eastAsia" w:ascii="彩虹粗仿宋" w:hAnsi="Times New Roman" w:eastAsia="彩虹粗仿宋"/>
          <w:sz w:val="32"/>
          <w:szCs w:val="32"/>
        </w:rPr>
        <w:t>12岗位、机关</w:t>
      </w:r>
      <w:r>
        <w:rPr>
          <w:rFonts w:ascii="彩虹粗仿宋" w:hAnsi="Times New Roman" w:eastAsia="彩虹粗仿宋"/>
          <w:sz w:val="32"/>
          <w:szCs w:val="32"/>
        </w:rPr>
        <w:t>办公楼</w:t>
      </w:r>
      <w:r>
        <w:rPr>
          <w:rFonts w:hint="eastAsia" w:ascii="彩虹粗仿宋" w:hAnsi="Times New Roman" w:eastAsia="彩虹粗仿宋"/>
          <w:sz w:val="32"/>
          <w:szCs w:val="32"/>
        </w:rPr>
        <w:t>10岗位、</w:t>
      </w:r>
      <w:r>
        <w:rPr>
          <w:rFonts w:ascii="彩虹粗仿宋" w:hAnsi="Times New Roman" w:eastAsia="彩虹粗仿宋"/>
          <w:sz w:val="32"/>
          <w:szCs w:val="32"/>
        </w:rPr>
        <w:t>营业网点安保需</w:t>
      </w:r>
      <w:r>
        <w:rPr>
          <w:rFonts w:hint="eastAsia" w:ascii="彩虹粗仿宋" w:hAnsi="Times New Roman" w:eastAsia="彩虹粗仿宋"/>
          <w:sz w:val="32"/>
          <w:szCs w:val="32"/>
        </w:rPr>
        <w:t>15岗位，共计43岗位。</w:t>
      </w:r>
      <w:r>
        <w:rPr>
          <w:rFonts w:hint="eastAsia" w:ascii="彩虹粗仿宋" w:hAnsi="黑体" w:eastAsia="彩虹粗仿宋" w:cs="Times New Roman"/>
          <w:color w:val="000000" w:themeColor="text1"/>
          <w:sz w:val="32"/>
          <w:szCs w:val="32"/>
          <w14:textFill>
            <w14:solidFill>
              <w14:schemeClr w14:val="tx1"/>
            </w14:solidFill>
          </w14:textFill>
        </w:rPr>
        <w:t>除支付供应商服务费用外，其他费用均由供应商负责。</w:t>
      </w:r>
    </w:p>
    <w:p>
      <w:pPr>
        <w:ind w:firstLine="800" w:firstLineChars="250"/>
        <w:rPr>
          <w:rFonts w:ascii="彩虹粗仿宋" w:hAnsi="宋体"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宋体"/>
          <w:color w:val="000000" w:themeColor="text1"/>
          <w:kern w:val="0"/>
          <w:sz w:val="32"/>
          <w:szCs w:val="32"/>
          <w14:textFill>
            <w14:solidFill>
              <w14:schemeClr w14:val="tx1"/>
            </w14:solidFill>
          </w14:textFill>
        </w:rPr>
        <w:t>鹤壁分行所辖1个金库、</w:t>
      </w:r>
      <w:r>
        <w:rPr>
          <w:rFonts w:hint="eastAsia" w:ascii="彩虹粗仿宋" w:hAnsi="微软雅黑" w:eastAsia="彩虹粗仿宋" w:cs="宋体"/>
          <w:color w:val="000000" w:themeColor="text1"/>
          <w:kern w:val="0"/>
          <w:sz w:val="32"/>
          <w:szCs w:val="32"/>
          <w14:textFill>
            <w14:solidFill>
              <w14:schemeClr w14:val="tx1"/>
            </w14:solidFill>
          </w14:textFill>
        </w:rPr>
        <w:t>15个营业网点、15个离行式自助银行</w:t>
      </w:r>
      <w:r>
        <w:rPr>
          <w:rFonts w:hint="eastAsia" w:ascii="彩虹粗仿宋" w:hAnsi="Calibri" w:eastAsia="彩虹粗仿宋" w:cs="宋体"/>
          <w:color w:val="000000" w:themeColor="text1"/>
          <w:kern w:val="0"/>
          <w:sz w:val="32"/>
          <w:szCs w:val="32"/>
          <w14:textFill>
            <w14:solidFill>
              <w14:schemeClr w14:val="tx1"/>
            </w14:solidFill>
          </w14:textFill>
        </w:rPr>
        <w:t>，</w:t>
      </w:r>
      <w:r>
        <w:rPr>
          <w:rFonts w:hint="eastAsia" w:ascii="彩虹粗仿宋" w:hAnsi="微软雅黑" w:eastAsia="彩虹粗仿宋" w:cs="宋体"/>
          <w:color w:val="000000" w:themeColor="text1"/>
          <w:kern w:val="0"/>
          <w:sz w:val="32"/>
          <w:szCs w:val="32"/>
          <w14:textFill>
            <w14:solidFill>
              <w14:schemeClr w14:val="tx1"/>
            </w14:solidFill>
          </w14:textFill>
        </w:rPr>
        <w:t>押运公司5台制式押运车组，每车组不低于5人（含2名押运人员、2名款箱员和1名司机）</w:t>
      </w:r>
      <w:r>
        <w:rPr>
          <w:rFonts w:hint="eastAsia" w:ascii="彩虹粗仿宋" w:hAnsi="Calibri" w:eastAsia="彩虹粗仿宋" w:cs="宋体"/>
          <w:color w:val="000000" w:themeColor="text1"/>
          <w:kern w:val="0"/>
          <w:sz w:val="32"/>
          <w:szCs w:val="32"/>
          <w14:textFill>
            <w14:solidFill>
              <w14:schemeClr w14:val="tx1"/>
            </w14:solidFill>
          </w14:textFill>
        </w:rPr>
        <w:t>为保障我行业务安全运营</w:t>
      </w:r>
      <w:r>
        <w:rPr>
          <w:rFonts w:hint="eastAsia" w:ascii="彩虹粗仿宋" w:hAnsi="宋体" w:eastAsia="彩虹粗仿宋" w:cs="Times New Roman"/>
          <w:color w:val="000000" w:themeColor="text1"/>
          <w:sz w:val="32"/>
          <w:szCs w:val="32"/>
          <w14:textFill>
            <w14:solidFill>
              <w14:schemeClr w14:val="tx1"/>
            </w14:solidFill>
          </w14:textFill>
        </w:rPr>
        <w:t>。</w:t>
      </w:r>
    </w:p>
    <w:p>
      <w:pPr>
        <w:ind w:firstLine="800" w:firstLineChars="250"/>
        <w:rPr>
          <w:rFonts w:ascii="彩虹粗仿宋" w:hAnsi="宋体" w:eastAsia="彩虹粗仿宋" w:cs="Times New Roman"/>
          <w:color w:val="000000" w:themeColor="text1"/>
          <w:sz w:val="32"/>
          <w:szCs w:val="32"/>
          <w14:textFill>
            <w14:solidFill>
              <w14:schemeClr w14:val="tx1"/>
            </w14:solidFill>
          </w14:textFill>
        </w:rPr>
      </w:pPr>
      <w:r>
        <w:rPr>
          <w:rFonts w:hint="eastAsia" w:ascii="彩虹粗仿宋" w:hAnsi="宋体" w:eastAsia="彩虹粗仿宋" w:cs="Times New Roman"/>
          <w:color w:val="000000" w:themeColor="text1"/>
          <w:sz w:val="32"/>
          <w:szCs w:val="32"/>
          <w14:textFill>
            <w14:solidFill>
              <w14:schemeClr w14:val="tx1"/>
            </w14:solidFill>
          </w14:textFill>
        </w:rPr>
        <w:t>金库值守</w:t>
      </w:r>
      <w:r>
        <w:rPr>
          <w:rFonts w:hint="eastAsia" w:ascii="彩虹粗仿宋" w:hAnsi="宋体" w:eastAsia="彩虹粗仿宋" w:cs="宋体"/>
          <w:color w:val="000000" w:themeColor="text1"/>
          <w:sz w:val="32"/>
          <w:szCs w:val="32"/>
          <w14:textFill>
            <w14:solidFill>
              <w14:schemeClr w14:val="tx1"/>
            </w14:solidFill>
          </w14:textFill>
        </w:rPr>
        <w:t xml:space="preserve"> 24小时不间断的双人武装守卫金库,每班不少于2人次</w:t>
      </w:r>
      <w:r>
        <w:rPr>
          <w:rFonts w:hint="eastAsia" w:ascii="彩虹粗仿宋" w:hAnsi="宋体" w:eastAsia="彩虹粗仿宋" w:cs="Times New Roman"/>
          <w:color w:val="000000" w:themeColor="text1"/>
          <w:sz w:val="32"/>
          <w:szCs w:val="32"/>
          <w14:textFill>
            <w14:solidFill>
              <w14:schemeClr w14:val="tx1"/>
            </w14:solidFill>
          </w14:textFill>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粗仿宋" w:hAnsi="Times New Roman" w:eastAsia="彩虹粗仿宋" w:cs="Times New Roman"/>
          <w:color w:val="000000" w:themeColor="text1"/>
          <w:sz w:val="32"/>
          <w:szCs w:val="32"/>
          <w14:textFill>
            <w14:solidFill>
              <w14:schemeClr w14:val="tx1"/>
            </w14:solidFill>
          </w14:textFill>
        </w:rPr>
        <w:t>临时押运业务点配送外币、实物黄金（鹤壁市到郑州），到省分行领取重要空白凭证。服务应在工作期间随叫随到，全年预计10次。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按月据实支付</w:t>
      </w:r>
      <w:r>
        <w:rPr>
          <w:rFonts w:hint="eastAsia" w:ascii="彩虹粗仿宋" w:hAnsi="黑体" w:eastAsia="彩虹粗仿宋" w:cs="Times New Roman"/>
          <w:snapToGrid w:val="0"/>
          <w:color w:val="000000" w:themeColor="text1"/>
          <w:sz w:val="32"/>
          <w:szCs w:val="32"/>
          <w14:textFill>
            <w14:solidFill>
              <w14:schemeClr w14:val="tx1"/>
            </w14:solidFill>
          </w14:textFill>
        </w:rPr>
        <w:t>，根据月度考核情况，</w:t>
      </w:r>
      <w:r>
        <w:rPr>
          <w:rFonts w:hint="eastAsia" w:ascii="彩虹粗仿宋" w:hAnsi="黑体" w:eastAsia="彩虹粗仿宋" w:cs="Times New Roman"/>
          <w:color w:val="000000" w:themeColor="text1"/>
          <w:sz w:val="32"/>
          <w:szCs w:val="32"/>
          <w14:textFill>
            <w14:solidFill>
              <w14:schemeClr w14:val="tx1"/>
            </w14:solidFill>
          </w14:textFill>
        </w:rPr>
        <w:t>供应商出具相应的增值税专用发票</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鹤壁市公安110联网报警服务，按照所辖内110报警服务点数量58个，按“元/月/点”报含税单价，每点每月预算不超过200元，全年预算13.92万元。</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鹤壁分行的安保服务，</w:t>
      </w:r>
      <w:r>
        <w:rPr>
          <w:rFonts w:hint="eastAsia" w:ascii="彩虹粗仿宋" w:hAnsi="黑体" w:eastAsia="彩虹粗仿宋"/>
          <w:color w:val="000000"/>
          <w:sz w:val="32"/>
          <w:szCs w:val="32"/>
        </w:rPr>
        <w:t>按照元/岗/月报含税单价和年度总价，安保服务岗位43个，</w:t>
      </w:r>
      <w:r>
        <w:rPr>
          <w:rFonts w:hint="eastAsia" w:ascii="彩虹粗仿宋" w:hAnsi="Times New Roman" w:eastAsia="彩虹粗仿宋"/>
          <w:sz w:val="32"/>
          <w:szCs w:val="32"/>
        </w:rPr>
        <w:t>每岗每月不超过3085元，年服务费用不超过159.186万元，超过预算价为无效报价</w:t>
      </w:r>
      <w:r>
        <w:rPr>
          <w:rFonts w:hint="eastAsia" w:ascii="彩虹粗仿宋" w:hAnsi="宋体" w:eastAsia="彩虹粗仿宋" w:cs="Times New Roman"/>
          <w:snapToGrid w:val="0"/>
          <w:kern w:val="0"/>
          <w:sz w:val="32"/>
          <w:szCs w:val="32"/>
        </w:rPr>
        <w:t>。</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鹤壁分行武装押运现金款箱、重要空白凭证及有价证券等重要票证的运送;黄金、贵金属、贵重物品的运送等。每辆运钞车上必须保持5人(驾驶员1 人、押运员2 人、款箱交接员2 人)。每年每辆车服务费45万元，5辆车，合计225万元</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金库武装守库。负责金库每天24小时不间断的双人武装守卫 ，需8个岗位，每年收取守库服务费 30万元。</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临时费用；赴省行调款根据实际次数，按每次3000元收费。预计10次，全年预计3万元。</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以上报价超过预算为无效报价。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560" w:lineRule="exact"/>
        <w:ind w:firstLine="640" w:firstLineChars="200"/>
        <w:jc w:val="left"/>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snapToGrid w:val="0"/>
          <w:sz w:val="32"/>
          <w:szCs w:val="32"/>
        </w:rPr>
        <w:t>1、</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协议期间,因网点增加或减少增加车辆，据实支付。</w:t>
      </w:r>
    </w:p>
    <w:p>
      <w:pPr>
        <w:adjustRightInd w:val="0"/>
        <w:snapToGrid w:val="0"/>
        <w:spacing w:line="560" w:lineRule="exact"/>
        <w:ind w:firstLine="640" w:firstLineChars="200"/>
        <w:jc w:val="lef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ind w:firstLine="640" w:firstLineChars="200"/>
        <w:jc w:val="left"/>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2、保安服务测评表</w:t>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color w:val="000000" w:themeColor="text1"/>
                <w:kern w:val="0"/>
                <w:sz w:val="36"/>
                <w:szCs w:val="36"/>
                <w14:textFill>
                  <w14:solidFill>
                    <w14:schemeClr w14:val="tx1"/>
                  </w14:solidFill>
                </w14:textFill>
              </w:rPr>
            </w:pPr>
            <w:r>
              <w:rPr>
                <w:rFonts w:hint="eastAsia" w:ascii="宋体" w:hAnsi="宋体"/>
                <w:b/>
                <w:bCs/>
                <w:color w:val="000000" w:themeColor="text1"/>
                <w:kern w:val="0"/>
                <w:sz w:val="36"/>
                <w:szCs w:val="36"/>
                <w14:textFill>
                  <w14:solidFill>
                    <w14:schemeClr w14:val="tx1"/>
                  </w14:solidFill>
                </w14:textFill>
              </w:rPr>
              <w:t>保安服务测评表</w:t>
            </w:r>
          </w:p>
        </w:tc>
      </w:tr>
      <w:tr>
        <w:tblPrEx>
          <w:tblCellMar>
            <w:top w:w="0" w:type="dxa"/>
            <w:left w:w="108" w:type="dxa"/>
            <w:bottom w:w="0" w:type="dxa"/>
            <w:right w:w="108" w:type="dxa"/>
          </w:tblCellMar>
        </w:tblPrEx>
        <w:trPr>
          <w:gridAfter w:val="1"/>
          <w:wAfter w:w="760" w:type="dxa"/>
          <w:trHeight w:val="135" w:hRule="atLeast"/>
        </w:trPr>
        <w:tc>
          <w:tcPr>
            <w:tcW w:w="740" w:type="dxa"/>
            <w:tcBorders>
              <w:top w:val="nil"/>
              <w:left w:val="nil"/>
              <w:bottom w:val="nil"/>
              <w:right w:val="nil"/>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108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11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9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0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gridAfter w:val="1"/>
          <w:wAfter w:w="760" w:type="dxa"/>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color w:val="000000" w:themeColor="text1"/>
                <w:kern w:val="0"/>
                <w:szCs w:val="28"/>
                <w14:textFill>
                  <w14:solidFill>
                    <w14:schemeClr w14:val="tx1"/>
                  </w14:solidFill>
                </w14:textFill>
              </w:rPr>
            </w:pPr>
            <w:r>
              <w:rPr>
                <w:rFonts w:hint="eastAsia" w:ascii="宋体" w:hAnsi="宋体" w:cs="宋体"/>
                <w:color w:val="000000" w:themeColor="text1"/>
                <w:kern w:val="0"/>
                <w:szCs w:val="28"/>
                <w14:textFill>
                  <w14:solidFill>
                    <w14:schemeClr w14:val="tx1"/>
                  </w14:solidFill>
                </w14:textFill>
              </w:rPr>
              <w:t>网点：</w:t>
            </w:r>
          </w:p>
        </w:tc>
        <w:tc>
          <w:tcPr>
            <w:tcW w:w="720" w:type="dxa"/>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p>
        </w:tc>
        <w:tc>
          <w:tcPr>
            <w:tcW w:w="1080" w:type="dxa"/>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p>
        </w:tc>
        <w:tc>
          <w:tcPr>
            <w:tcW w:w="1860" w:type="dxa"/>
            <w:gridSpan w:val="2"/>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r>
              <w:rPr>
                <w:rFonts w:hint="eastAsia" w:ascii="宋体" w:hAnsi="宋体" w:cs="宋体"/>
                <w:color w:val="000000" w:themeColor="text1"/>
                <w:kern w:val="0"/>
                <w:szCs w:val="28"/>
                <w14:textFill>
                  <w14:solidFill>
                    <w14:schemeClr w14:val="tx1"/>
                  </w14:solidFill>
                </w14:textFill>
              </w:rPr>
              <w:t>保安姓名：</w:t>
            </w:r>
          </w:p>
        </w:tc>
        <w:tc>
          <w:tcPr>
            <w:tcW w:w="920" w:type="dxa"/>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p>
        </w:tc>
        <w:tc>
          <w:tcPr>
            <w:tcW w:w="740" w:type="dxa"/>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p>
        </w:tc>
        <w:tc>
          <w:tcPr>
            <w:tcW w:w="1420" w:type="dxa"/>
            <w:gridSpan w:val="2"/>
            <w:tcBorders>
              <w:top w:val="nil"/>
              <w:left w:val="nil"/>
              <w:bottom w:val="nil"/>
              <w:right w:val="nil"/>
            </w:tcBorders>
            <w:noWrap/>
            <w:vAlign w:val="center"/>
          </w:tcPr>
          <w:p>
            <w:pPr>
              <w:widowControl/>
              <w:jc w:val="left"/>
              <w:rPr>
                <w:rFonts w:ascii="宋体" w:hAnsi="宋体" w:cs="宋体"/>
                <w:color w:val="000000" w:themeColor="text1"/>
                <w:kern w:val="0"/>
                <w:szCs w:val="28"/>
                <w14:textFill>
                  <w14:solidFill>
                    <w14:schemeClr w14:val="tx1"/>
                  </w14:solidFill>
                </w14:textFill>
              </w:rPr>
            </w:pPr>
            <w:r>
              <w:rPr>
                <w:rFonts w:hint="eastAsia" w:ascii="宋体" w:hAnsi="宋体" w:cs="宋体"/>
                <w:color w:val="000000" w:themeColor="text1"/>
                <w:kern w:val="0"/>
                <w:szCs w:val="28"/>
                <w14:textFill>
                  <w14:solidFill>
                    <w14:schemeClr w14:val="tx1"/>
                  </w14:solidFill>
                </w14:textFill>
              </w:rPr>
              <w:t>日期：</w:t>
            </w:r>
          </w:p>
        </w:tc>
      </w:tr>
      <w:tr>
        <w:tblPrEx>
          <w:tblCellMar>
            <w:top w:w="0" w:type="dxa"/>
            <w:left w:w="108" w:type="dxa"/>
            <w:bottom w:w="0" w:type="dxa"/>
            <w:right w:w="108" w:type="dxa"/>
          </w:tblCellMar>
        </w:tblPrEx>
        <w:trPr>
          <w:gridAfter w:val="1"/>
          <w:wAfter w:w="760" w:type="dxa"/>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日</w:t>
            </w:r>
            <w:r>
              <w:rPr>
                <w:rFonts w:ascii="Times New Roman" w:hAnsi="Times New Roman"/>
                <w:color w:val="000000" w:themeColor="text1"/>
                <w:kern w:val="0"/>
                <w:sz w:val="24"/>
                <w:szCs w:val="24"/>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color w:val="000000" w:themeColor="text1"/>
                <w:kern w:val="0"/>
                <w:szCs w:val="28"/>
                <w14:textFill>
                  <w14:solidFill>
                    <w14:schemeClr w14:val="tx1"/>
                  </w14:solidFill>
                </w14:textFill>
              </w:rPr>
            </w:pPr>
            <w:r>
              <w:rPr>
                <w:rFonts w:hint="eastAsia" w:ascii="宋体" w:hAnsi="宋体" w:cs="宋体"/>
                <w:b/>
                <w:bCs/>
                <w:color w:val="000000" w:themeColor="text1"/>
                <w:kern w:val="0"/>
                <w:szCs w:val="28"/>
                <w14:textFill>
                  <w14:solidFill>
                    <w14:schemeClr w14:val="tx1"/>
                  </w14:solidFill>
                </w14:textFill>
              </w:rPr>
              <w:t>违犯规定内容及次数</w:t>
            </w:r>
          </w:p>
        </w:tc>
      </w:tr>
      <w:tr>
        <w:tblPrEx>
          <w:tblCellMar>
            <w:top w:w="0" w:type="dxa"/>
            <w:left w:w="108" w:type="dxa"/>
            <w:bottom w:w="0" w:type="dxa"/>
            <w:right w:w="108" w:type="dxa"/>
          </w:tblCellMar>
        </w:tblPrEx>
        <w:trPr>
          <w:gridAfter w:val="1"/>
          <w:wAfter w:w="760" w:type="dxa"/>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着装</w:t>
            </w:r>
            <w:r>
              <w:rPr>
                <w:rFonts w:ascii="Times New Roman" w:hAnsi="Times New Roman"/>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警具</w:t>
            </w:r>
            <w:r>
              <w:rPr>
                <w:rFonts w:ascii="Times New Roman" w:hAnsi="Times New Roman"/>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客户</w:t>
            </w:r>
            <w:r>
              <w:rPr>
                <w:rFonts w:ascii="Times New Roman" w:hAnsi="Times New Roman"/>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其   他</w:t>
            </w:r>
          </w:p>
        </w:tc>
      </w:tr>
      <w:tr>
        <w:tblPrEx>
          <w:tblCellMar>
            <w:top w:w="0" w:type="dxa"/>
            <w:left w:w="108" w:type="dxa"/>
            <w:bottom w:w="0" w:type="dxa"/>
            <w:right w:w="108" w:type="dxa"/>
          </w:tblCellMar>
        </w:tblPrEx>
        <w:trPr>
          <w:gridAfter w:val="1"/>
          <w:wAfter w:w="760" w:type="dxa"/>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次数</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gridAfter w:val="1"/>
          <w:wAfter w:w="760" w:type="dxa"/>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08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12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92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4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0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720" w:type="dxa"/>
            <w:tcBorders>
              <w:top w:val="nil"/>
              <w:left w:val="nil"/>
              <w:bottom w:val="nil"/>
              <w:right w:val="single" w:color="auto" w:sz="4" w:space="0"/>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违犯规定10次以下为合格；10次（不含）以上20次以下为基本合格；20次（不含）以上为不合格。</w:t>
            </w:r>
          </w:p>
        </w:tc>
      </w:tr>
      <w:tr>
        <w:tblPrEx>
          <w:tblCellMar>
            <w:top w:w="0" w:type="dxa"/>
            <w:left w:w="108" w:type="dxa"/>
            <w:bottom w:w="0" w:type="dxa"/>
            <w:right w:w="108" w:type="dxa"/>
          </w:tblCellMar>
        </w:tblPrEx>
        <w:trPr>
          <w:gridAfter w:val="1"/>
          <w:wAfter w:w="760" w:type="dxa"/>
          <w:trHeight w:val="312" w:hRule="atLeast"/>
        </w:trPr>
        <w:tc>
          <w:tcPr>
            <w:tcW w:w="740" w:type="dxa"/>
            <w:tcBorders>
              <w:top w:val="nil"/>
              <w:left w:val="nil"/>
              <w:bottom w:val="nil"/>
              <w:right w:val="nil"/>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108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11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9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0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7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gridAfter w:val="1"/>
          <w:wAfter w:w="760" w:type="dxa"/>
          <w:trHeight w:val="348" w:hRule="atLeast"/>
        </w:trPr>
        <w:tc>
          <w:tcPr>
            <w:tcW w:w="740" w:type="dxa"/>
            <w:tcBorders>
              <w:top w:val="nil"/>
              <w:left w:val="nil"/>
              <w:bottom w:val="nil"/>
              <w:right w:val="nil"/>
            </w:tcBorders>
            <w:noWrap/>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2540" w:type="dxa"/>
            <w:gridSpan w:val="3"/>
            <w:tcBorders>
              <w:top w:val="nil"/>
              <w:left w:val="nil"/>
              <w:bottom w:val="nil"/>
              <w:right w:val="nil"/>
            </w:tcBorders>
            <w:noWrap/>
            <w:vAlign w:val="bottom"/>
          </w:tcPr>
          <w:p>
            <w:pPr>
              <w:widowControl/>
              <w:jc w:val="left"/>
              <w:rPr>
                <w:rFonts w:ascii="宋体" w:hAnsi="宋体" w:cs="宋体"/>
                <w:color w:val="000000" w:themeColor="text1"/>
                <w:kern w:val="0"/>
                <w:szCs w:val="28"/>
                <w14:textFill>
                  <w14:solidFill>
                    <w14:schemeClr w14:val="tx1"/>
                  </w14:solidFill>
                </w14:textFill>
              </w:rPr>
            </w:pPr>
            <w:r>
              <w:rPr>
                <w:rFonts w:hint="eastAsia" w:ascii="宋体" w:hAnsi="宋体" w:cs="宋体"/>
                <w:color w:val="000000" w:themeColor="text1"/>
                <w:kern w:val="0"/>
                <w:szCs w:val="28"/>
                <w14:textFill>
                  <w14:solidFill>
                    <w14:schemeClr w14:val="tx1"/>
                  </w14:solidFill>
                </w14:textFill>
              </w:rPr>
              <w:t>网点负责人：</w:t>
            </w:r>
          </w:p>
        </w:tc>
        <w:tc>
          <w:tcPr>
            <w:tcW w:w="74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11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c>
          <w:tcPr>
            <w:tcW w:w="2360" w:type="dxa"/>
            <w:gridSpan w:val="3"/>
            <w:tcBorders>
              <w:top w:val="nil"/>
              <w:left w:val="nil"/>
              <w:bottom w:val="nil"/>
              <w:right w:val="nil"/>
            </w:tcBorders>
            <w:noWrap/>
            <w:vAlign w:val="bottom"/>
          </w:tcPr>
          <w:p>
            <w:pPr>
              <w:widowControl/>
              <w:jc w:val="left"/>
              <w:rPr>
                <w:rFonts w:ascii="宋体" w:hAnsi="宋体" w:cs="宋体"/>
                <w:color w:val="000000" w:themeColor="text1"/>
                <w:kern w:val="0"/>
                <w:szCs w:val="28"/>
                <w14:textFill>
                  <w14:solidFill>
                    <w14:schemeClr w14:val="tx1"/>
                  </w14:solidFill>
                </w14:textFill>
              </w:rPr>
            </w:pPr>
            <w:r>
              <w:rPr>
                <w:rFonts w:hint="eastAsia" w:ascii="宋体" w:hAnsi="宋体" w:cs="宋体"/>
                <w:color w:val="000000" w:themeColor="text1"/>
                <w:kern w:val="0"/>
                <w:szCs w:val="28"/>
                <w14:textFill>
                  <w14:solidFill>
                    <w14:schemeClr w14:val="tx1"/>
                  </w14:solidFill>
                </w14:textFill>
              </w:rPr>
              <w:t>被考评人签字：</w:t>
            </w:r>
          </w:p>
        </w:tc>
        <w:tc>
          <w:tcPr>
            <w:tcW w:w="720" w:type="dxa"/>
            <w:tcBorders>
              <w:top w:val="nil"/>
              <w:left w:val="nil"/>
              <w:bottom w:val="nil"/>
              <w:right w:val="nil"/>
            </w:tcBorders>
            <w:noWrap/>
            <w:vAlign w:val="bottom"/>
          </w:tcPr>
          <w:p>
            <w:pPr>
              <w:widowControl/>
              <w:jc w:val="left"/>
              <w:rPr>
                <w:rFonts w:ascii="宋体" w:hAnsi="宋体" w:cs="宋体"/>
                <w:color w:val="000000" w:themeColor="text1"/>
                <w:kern w:val="0"/>
                <w:sz w:val="24"/>
                <w:szCs w:val="24"/>
                <w14:textFill>
                  <w14:solidFill>
                    <w14:schemeClr w14:val="tx1"/>
                  </w14:solidFill>
                </w14:textFill>
              </w:rPr>
            </w:pPr>
          </w:p>
        </w:tc>
      </w:tr>
    </w:tbl>
    <w:p>
      <w:pPr>
        <w:adjustRightInd w:val="0"/>
        <w:snapToGrid w:val="0"/>
        <w:spacing w:line="560" w:lineRule="exact"/>
        <w:ind w:firstLine="960" w:firstLineChars="300"/>
        <w:rPr>
          <w:rFonts w:ascii="彩虹黑体" w:hAnsi="宋体" w:eastAsia="彩虹黑体" w:cs="Times New Roman"/>
          <w:snapToGrid w:val="0"/>
          <w:kern w:val="0"/>
          <w:sz w:val="32"/>
          <w:szCs w:val="32"/>
        </w:rPr>
      </w:pPr>
    </w:p>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*月消防控制室值守服务测评表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日期</w:t>
            </w:r>
          </w:p>
        </w:tc>
        <w:tc>
          <w:tcPr>
            <w:tcW w:w="5681" w:type="dxa"/>
            <w:gridSpan w:val="4"/>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违规内容及次数</w:t>
            </w:r>
          </w:p>
        </w:tc>
        <w:tc>
          <w:tcPr>
            <w:tcW w:w="1421" w:type="dxa"/>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彩虹粗仿宋" w:hAnsi="Times New Roman" w:eastAsia="彩虹粗仿宋" w:cs="Times New Roman"/>
                <w:kern w:val="0"/>
                <w:sz w:val="28"/>
                <w:szCs w:val="32"/>
              </w:rPr>
            </w:pP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仪容仪表</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警情处置是否及时</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值班期间是否脱岗</w:t>
            </w:r>
          </w:p>
        </w:tc>
        <w:tc>
          <w:tcPr>
            <w:tcW w:w="1421"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值班期间做与工作无关的事情</w:t>
            </w:r>
          </w:p>
        </w:tc>
        <w:tc>
          <w:tcPr>
            <w:tcW w:w="1421" w:type="dxa"/>
          </w:tcPr>
          <w:p>
            <w:pPr>
              <w:jc w:val="center"/>
              <w:rPr>
                <w:rFonts w:ascii="彩虹粗仿宋" w:hAnsi="Times New Roman" w:eastAsia="彩虹粗仿宋" w:cs="Times New Roman"/>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pPr>
              <w:jc w:val="center"/>
              <w:rPr>
                <w:rFonts w:ascii="彩虹粗仿宋" w:hAnsi="Times New Roman" w:eastAsia="彩虹粗仿宋" w:cs="Times New Roman"/>
                <w:kern w:val="0"/>
                <w:sz w:val="32"/>
                <w:szCs w:val="32"/>
              </w:rPr>
            </w:pPr>
            <w:r>
              <w:rPr>
                <w:rFonts w:hint="eastAsia" w:ascii="宋体" w:hAnsi="宋体" w:eastAsia="宋体" w:cs="宋体"/>
                <w:kern w:val="0"/>
                <w:sz w:val="24"/>
                <w:szCs w:val="24"/>
              </w:rPr>
              <w:t>违犯规定10次以下为合格；10次（不含）以上20次以下为基本合格；20次（不含）以上为不合格。</w:t>
            </w:r>
          </w:p>
        </w:tc>
      </w:tr>
    </w:tbl>
    <w:p>
      <w:pPr>
        <w:jc w:val="center"/>
        <w:rPr>
          <w:rFonts w:ascii="彩虹粗仿宋" w:hAnsi="Times New Roman" w:eastAsia="彩虹粗仿宋" w:cs="Times New Roman"/>
          <w:kern w:val="0"/>
          <w:sz w:val="32"/>
          <w:szCs w:val="32"/>
          <w:highlight w:val="yellow"/>
        </w:rPr>
      </w:pPr>
    </w:p>
    <w:tbl>
      <w:tblPr>
        <w:tblStyle w:val="3"/>
        <w:tblW w:w="8980" w:type="dxa"/>
        <w:tblInd w:w="93" w:type="dxa"/>
        <w:tblLayout w:type="autofit"/>
        <w:tblCellMar>
          <w:top w:w="0" w:type="dxa"/>
          <w:left w:w="108" w:type="dxa"/>
          <w:bottom w:w="0" w:type="dxa"/>
          <w:right w:w="108" w:type="dxa"/>
        </w:tblCellMar>
      </w:tblPr>
      <w:tblGrid>
        <w:gridCol w:w="740"/>
        <w:gridCol w:w="2540"/>
        <w:gridCol w:w="740"/>
        <w:gridCol w:w="1120"/>
        <w:gridCol w:w="2360"/>
        <w:gridCol w:w="720"/>
        <w:gridCol w:w="760"/>
      </w:tblGrid>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adjustRightInd w:val="0"/>
        <w:snapToGrid w:val="0"/>
        <w:spacing w:line="560" w:lineRule="exact"/>
        <w:ind w:firstLine="482" w:firstLineChars="150"/>
        <w:rPr>
          <w:rFonts w:ascii="彩虹粗仿宋" w:hAnsi="宋体" w:eastAsia="彩虹粗仿宋" w:cs="Times New Roman"/>
          <w:b/>
          <w:snapToGrid w:val="0"/>
          <w:kern w:val="0"/>
          <w:sz w:val="32"/>
          <w:szCs w:val="32"/>
        </w:rPr>
      </w:pPr>
    </w:p>
    <w:p>
      <w:pPr>
        <w:spacing w:line="560" w:lineRule="exact"/>
        <w:ind w:firstLine="420" w:firstLineChars="200"/>
      </w:pPr>
    </w:p>
    <w:tbl>
      <w:tblPr>
        <w:tblStyle w:val="4"/>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512"/>
        <w:gridCol w:w="1512"/>
        <w:gridCol w:w="1512"/>
        <w:gridCol w:w="1513"/>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ind w:left="0" w:leftChars="0" w:firstLine="280" w:firstLineChars="10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日期</w:t>
            </w:r>
          </w:p>
        </w:tc>
        <w:tc>
          <w:tcPr>
            <w:tcW w:w="5681" w:type="dxa"/>
            <w:gridSpan w:val="4"/>
            <w:vAlign w:val="center"/>
          </w:tcPr>
          <w:p>
            <w:pPr>
              <w:ind w:firstLine="1680" w:firstLineChars="60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违规内容及次数</w:t>
            </w:r>
          </w:p>
        </w:tc>
        <w:tc>
          <w:tcPr>
            <w:tcW w:w="1421" w:type="dxa"/>
          </w:tcPr>
          <w:p>
            <w:pPr>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both"/>
              <w:rPr>
                <w:rFonts w:ascii="彩虹粗仿宋" w:hAnsi="Times New Roman" w:eastAsia="彩虹粗仿宋" w:cs="Times New Roman"/>
                <w:kern w:val="0"/>
                <w:sz w:val="28"/>
                <w:szCs w:val="32"/>
              </w:rPr>
            </w:pPr>
          </w:p>
        </w:tc>
        <w:tc>
          <w:tcPr>
            <w:tcW w:w="1420" w:type="dxa"/>
            <w:vAlign w:val="center"/>
          </w:tcPr>
          <w:p>
            <w:pPr>
              <w:ind w:left="0" w:leftChars="0" w:firstLine="0" w:firstLineChars="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仪容仪表</w:t>
            </w:r>
          </w:p>
        </w:tc>
        <w:tc>
          <w:tcPr>
            <w:tcW w:w="1420" w:type="dxa"/>
            <w:vAlign w:val="center"/>
          </w:tcPr>
          <w:p>
            <w:pPr>
              <w:ind w:left="0" w:leftChars="0" w:firstLine="0" w:firstLineChars="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警情处置是否及时</w:t>
            </w:r>
          </w:p>
        </w:tc>
        <w:tc>
          <w:tcPr>
            <w:tcW w:w="1420" w:type="dxa"/>
            <w:vAlign w:val="center"/>
          </w:tcPr>
          <w:p>
            <w:pPr>
              <w:ind w:left="0" w:leftChars="0" w:firstLine="0" w:firstLineChars="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值班期间是否脱岗</w:t>
            </w:r>
          </w:p>
        </w:tc>
        <w:tc>
          <w:tcPr>
            <w:tcW w:w="1421" w:type="dxa"/>
            <w:vAlign w:val="center"/>
          </w:tcPr>
          <w:p>
            <w:pPr>
              <w:ind w:left="0" w:leftChars="0" w:firstLine="0" w:firstLineChars="0"/>
              <w:jc w:val="both"/>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值班期间做与工作无关的事情</w:t>
            </w:r>
          </w:p>
        </w:tc>
        <w:tc>
          <w:tcPr>
            <w:tcW w:w="1421" w:type="dxa"/>
          </w:tcPr>
          <w:p>
            <w:pPr>
              <w:jc w:val="both"/>
              <w:rPr>
                <w:rFonts w:ascii="彩虹粗仿宋" w:hAnsi="Times New Roman" w:eastAsia="彩虹粗仿宋" w:cs="Times New Roman"/>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ind w:left="0" w:leftChars="0" w:firstLine="320" w:firstLineChars="100"/>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ind w:left="0" w:leftChars="0" w:firstLine="320" w:firstLineChars="100"/>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ind w:left="0" w:leftChars="0" w:firstLine="320" w:firstLineChars="100"/>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ind w:left="0" w:leftChars="0" w:firstLine="320" w:firstLineChars="100"/>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ind w:left="0" w:leftChars="0" w:firstLine="320" w:firstLineChars="100"/>
              <w:jc w:val="both"/>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0"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c>
          <w:tcPr>
            <w:tcW w:w="1421" w:type="dxa"/>
          </w:tcPr>
          <w:p>
            <w:pPr>
              <w:jc w:val="both"/>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jc w:val="center"/>
              <w:rPr>
                <w:rFonts w:ascii="彩虹粗仿宋" w:hAnsi="Times New Roman" w:eastAsia="彩虹粗仿宋" w:cs="Times New Roman"/>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p>
      <w:pPr>
        <w:adjustRightInd w:val="0"/>
        <w:snapToGrid w:val="0"/>
        <w:spacing w:line="560" w:lineRule="exact"/>
        <w:ind w:firstLine="640" w:firstLineChars="200"/>
        <w:jc w:val="lef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jc w:val="left"/>
        <w:rPr>
          <w:rFonts w:ascii="彩虹小标宋" w:hAnsi="宋体" w:eastAsia="彩虹小标宋" w:cs="Times New Roman"/>
          <w:bCs/>
          <w:snapToGrid w:val="0"/>
          <w:kern w:val="0"/>
          <w:sz w:val="36"/>
          <w:szCs w:val="36"/>
        </w:rPr>
      </w:pPr>
    </w:p>
    <w:p>
      <w:pPr>
        <w:widowControl/>
        <w:jc w:val="left"/>
      </w:pPr>
      <w:r>
        <w:rPr>
          <w:rFonts w:ascii="彩虹小标宋" w:hAnsi="宋体" w:eastAsia="彩虹小标宋" w:cs="Times New Roman"/>
          <w:bCs/>
          <w:snapToGrid w:val="0"/>
          <w:kern w:val="0"/>
          <w:sz w:val="44"/>
          <w:szCs w:val="44"/>
          <w:highlight w:val="yellow"/>
        </w:rPr>
        <w:br w:type="page"/>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FB8414"/>
    <w:multiLevelType w:val="singleLevel"/>
    <w:tmpl w:val="E1FB8414"/>
    <w:lvl w:ilvl="0" w:tentative="0">
      <w:start w:val="5"/>
      <w:numFmt w:val="chineseCounting"/>
      <w:suff w:val="nothing"/>
      <w:lvlText w:val="（%1）"/>
      <w:lvlJc w:val="left"/>
      <w:pPr>
        <w:ind w:left="200"/>
      </w:pPr>
      <w:rPr>
        <w:rFonts w:hint="eastAsia"/>
      </w:rPr>
    </w:lvl>
  </w:abstractNum>
  <w:abstractNum w:abstractNumId="1">
    <w:nsid w:val="ED7663FC"/>
    <w:multiLevelType w:val="singleLevel"/>
    <w:tmpl w:val="ED7663FC"/>
    <w:lvl w:ilvl="0" w:tentative="0">
      <w:start w:val="3"/>
      <w:numFmt w:val="chineseCounting"/>
      <w:suff w:val="nothing"/>
      <w:lvlText w:val="%1、"/>
      <w:lvlJc w:val="left"/>
      <w:rPr>
        <w:rFonts w:hint="eastAsia"/>
      </w:rPr>
    </w:lvl>
  </w:abstractNum>
  <w:abstractNum w:abstractNumId="2">
    <w:nsid w:val="EFFF7B71"/>
    <w:multiLevelType w:val="singleLevel"/>
    <w:tmpl w:val="EFFF7B71"/>
    <w:lvl w:ilvl="0" w:tentative="0">
      <w:start w:val="2"/>
      <w:numFmt w:val="chineseCounting"/>
      <w:suff w:val="nothing"/>
      <w:lvlText w:val="（%1）"/>
      <w:lvlJc w:val="left"/>
      <w:rPr>
        <w:rFonts w:hint="eastAsia"/>
      </w:rPr>
    </w:lvl>
  </w:abstractNum>
  <w:abstractNum w:abstractNumId="3">
    <w:nsid w:val="FBFE3095"/>
    <w:multiLevelType w:val="singleLevel"/>
    <w:tmpl w:val="FBFE3095"/>
    <w:lvl w:ilvl="0" w:tentative="0">
      <w:start w:val="1"/>
      <w:numFmt w:val="decimal"/>
      <w:suff w:val="nothing"/>
      <w:lvlText w:val="%1、"/>
      <w:lvlJc w:val="left"/>
      <w:pPr>
        <w:ind w:left="-1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B6FDF"/>
    <w:rsid w:val="31E82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table" w:styleId="4">
    <w:name w:val="Table Grid"/>
    <w:basedOn w:val="3"/>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2024-05-22T00:43:00Z</dcterms:created>
  <dc:creator>haccb</dc:creator>
  <cp:lastModifiedBy>haccb</cp:lastModifiedBy>
  <dcterms:modified xsi:type="dcterms:W3CDTF">2024-05-23T09:17:41Z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F270D958249E45158C72BC59C34F6488_12</vt:lpwstr>
  </property>
</Properties>
</file>