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eastAsiaTheme="minorEastAsia"/>
          <w:snapToGrid w:val="0"/>
          <w:lang w:val="en-US" w:eastAsia="zh-CN"/>
        </w:rPr>
      </w:pPr>
      <w:r>
        <w:rPr>
          <w:rFonts w:hint="eastAsia"/>
          <w:snapToGrid w:val="0"/>
        </w:rPr>
        <w:t>安全保卫部关于绿城支行巩义支行保安值守服务、武装押运和110报警服务采购</w:t>
      </w:r>
      <w:r>
        <w:rPr>
          <w:rFonts w:hint="eastAsia"/>
          <w:snapToGrid w:val="0"/>
          <w:lang w:val="en-US" w:eastAsia="zh-CN"/>
        </w:rPr>
        <w:t>需求</w:t>
      </w:r>
    </w:p>
    <w:p>
      <w:pPr>
        <w:adjustRightInd w:val="0"/>
        <w:snapToGrid w:val="0"/>
        <w:spacing w:line="560" w:lineRule="exact"/>
        <w:ind w:firstLine="723" w:firstLineChars="200"/>
        <w:rPr>
          <w:rFonts w:ascii="彩虹小标宋" w:hAnsi="宋体" w:eastAsia="彩虹小标宋" w:cs="Times New Roman"/>
          <w:b/>
          <w:bCs/>
          <w:snapToGrid w:val="0"/>
          <w:kern w:val="0"/>
          <w:sz w:val="36"/>
          <w:szCs w:val="36"/>
        </w:rPr>
      </w:pP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w:t>
      </w:r>
      <w:r>
        <w:rPr>
          <w:rFonts w:hint="eastAsia" w:ascii="彩虹粗仿宋" w:eastAsia="彩虹粗仿宋"/>
          <w:sz w:val="32"/>
          <w:szCs w:val="32"/>
          <w:lang w:val="en-US" w:eastAsia="zh-CN"/>
        </w:rPr>
        <w:t>2020-2022</w:t>
      </w:r>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w:t>
      </w:r>
      <w:bookmarkStart w:id="0" w:name="_GoBack"/>
      <w:bookmarkEnd w:id="0"/>
      <w:r>
        <w:rPr>
          <w:rFonts w:hint="eastAsia" w:ascii="彩虹粗仿宋" w:eastAsia="彩虹粗仿宋"/>
          <w:sz w:val="32"/>
        </w:rPr>
        <w:t>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spacing w:line="560" w:lineRule="exact"/>
        <w:ind w:firstLine="640" w:firstLineChars="200"/>
        <w:rPr>
          <w:rFonts w:ascii="彩虹粗仿宋" w:eastAsia="彩虹粗仿宋"/>
          <w:sz w:val="32"/>
          <w:szCs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营业办公楼保安执勤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押运服务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C130301</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彩虹粗仿宋" w:eastAsia="彩虹粗仿宋" w:cs="彩虹粗仿宋"/>
                <w:kern w:val="0"/>
                <w:sz w:val="28"/>
                <w:szCs w:val="32"/>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left="480"/>
        <w:outlineLvl w:val="2"/>
        <w:rPr>
          <w:rFonts w:ascii="彩虹楷体" w:hAnsi="黑体" w:eastAsia="彩虹楷体" w:cs="Times New Roman"/>
          <w:sz w:val="32"/>
          <w:szCs w:val="32"/>
        </w:rPr>
      </w:pPr>
      <w:r>
        <w:rPr>
          <w:rFonts w:hint="eastAsia" w:ascii="彩虹楷体" w:hAnsi="黑体" w:eastAsia="彩虹楷体" w:cs="Times New Roman"/>
          <w:sz w:val="32"/>
          <w:szCs w:val="32"/>
        </w:rPr>
        <w:t>1.安保值守服务</w:t>
      </w:r>
    </w:p>
    <w:p>
      <w:pPr>
        <w:autoSpaceDE w:val="0"/>
        <w:autoSpaceDN w:val="0"/>
        <w:adjustRightInd w:val="0"/>
        <w:snapToGrid w:val="0"/>
        <w:spacing w:line="560" w:lineRule="exact"/>
        <w:ind w:firstLine="640" w:firstLineChars="200"/>
        <w:rPr>
          <w:rFonts w:ascii="Times New Roman" w:hAnsi="Calibri" w:eastAsia="彩虹粗仿宋" w:cs="宋体"/>
          <w:kern w:val="0"/>
          <w:sz w:val="32"/>
          <w:szCs w:val="32"/>
        </w:rPr>
      </w:pPr>
      <w:r>
        <w:rPr>
          <w:rFonts w:hint="eastAsia" w:ascii="Times New Roman" w:hAnsi="Calibri" w:eastAsia="彩虹粗仿宋" w:cs="宋体"/>
          <w:kern w:val="0"/>
          <w:sz w:val="32"/>
          <w:szCs w:val="32"/>
        </w:rPr>
        <w:t>本次安保值守服务内容是巩义支行本部和所辖营业部等4个营业网点的安保服务。</w:t>
      </w:r>
    </w:p>
    <w:p>
      <w:pPr>
        <w:autoSpaceDE w:val="0"/>
        <w:autoSpaceDN w:val="0"/>
        <w:adjustRightInd w:val="0"/>
        <w:snapToGrid w:val="0"/>
        <w:spacing w:line="560" w:lineRule="exact"/>
        <w:ind w:firstLine="480" w:firstLineChars="150"/>
        <w:outlineLvl w:val="2"/>
        <w:rPr>
          <w:rFonts w:ascii="彩虹楷体" w:hAnsi="黑体" w:eastAsia="彩虹楷体" w:cs="Courier New"/>
          <w:sz w:val="32"/>
          <w:szCs w:val="32"/>
        </w:rPr>
      </w:pPr>
      <w:r>
        <w:rPr>
          <w:rFonts w:hint="eastAsia" w:ascii="彩虹粗仿宋" w:hAnsi="Times New Roman" w:eastAsia="彩虹粗仿宋" w:cs="Times New Roman"/>
          <w:sz w:val="32"/>
          <w:szCs w:val="32"/>
        </w:rPr>
        <w:t>2.武装守押</w:t>
      </w:r>
      <w:r>
        <w:rPr>
          <w:rFonts w:hint="eastAsia" w:ascii="彩虹楷体" w:hAnsi="黑体" w:eastAsia="彩虹楷体" w:cs="Courier New"/>
          <w:sz w:val="32"/>
          <w:szCs w:val="32"/>
        </w:rPr>
        <w:t>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微软雅黑" w:eastAsia="彩虹粗仿宋" w:cs="宋体"/>
          <w:kern w:val="0"/>
          <w:sz w:val="32"/>
          <w:szCs w:val="32"/>
        </w:rPr>
        <w:t>本次集中采购项目为巩义支行现有4个营业网点（含附行自助）、4个离行式自助（设备）银行的武装押运服务</w:t>
      </w:r>
      <w:r>
        <w:rPr>
          <w:rFonts w:hint="eastAsia" w:ascii="彩虹粗仿宋" w:hAnsi="Calibri" w:eastAsia="彩虹粗仿宋" w:cs="宋体"/>
          <w:kern w:val="0"/>
          <w:sz w:val="32"/>
          <w:szCs w:val="32"/>
        </w:rPr>
        <w:t>。</w:t>
      </w:r>
    </w:p>
    <w:p>
      <w:pPr>
        <w:autoSpaceDE w:val="0"/>
        <w:autoSpaceDN w:val="0"/>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注：业务点（是指营业场所、自助设备、上门服务点）的早、晚营业尾款箱（包）接送；业务点营业期间提缴现金；业务点配送外币、实物黄金;离行式自助（设备）银行收、送现金;我行客户上门收、送现金；去往建行郑州金水支行提取或缴存现金；到省分行领取重要空白凭证和向业务点配送重要空白凭证;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utoSpaceDE w:val="0"/>
        <w:autoSpaceDN w:val="0"/>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3.110报警服务</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巩义支行所辖重点部位、营业网点、离行式自助银行（自助设备）、办公楼、档案库等8个重点部位12台报警主机（2台/网点、1台/离行自助）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统一服装，，年龄在55周岁以下符合《保安服务管理条例》的要求，由省公安厅批准许可的武装押运服务资质，开展武装押运服务5年以上。</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（二）具备一定的专业技能，能正确处理服务中出现的各种情况并进行有效处置，能够按照我行的要求完成每次的任务，遵章守纪，合规履职。</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（三）所派人员须按国家规定持证上岗，必须认真执行国家有关规定及要求。如由于所派人员违反规定，造成财产损失和人员伤亡的，外包服务公司负全部责任。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守押公司承诺为我行车组人员提供营运期间的支持保障及应急工作，押运公司每台制式押运车组，每车组不低于5人（含2名押运人员、2名款箱员和1名司机）（不含守押公司驻行联系人）；外包服务人员经过专业培训，符合武装守护要求，持证上岗。</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643" w:firstLineChars="200"/>
        <w:outlineLvl w:val="1"/>
        <w:rPr>
          <w:rFonts w:ascii="彩虹楷体" w:hAnsi="宋体" w:eastAsia="彩虹楷体" w:cs="Courier New"/>
          <w:b/>
          <w:color w:val="000000"/>
          <w:sz w:val="32"/>
          <w:szCs w:val="32"/>
        </w:rPr>
      </w:pPr>
      <w:r>
        <w:rPr>
          <w:rFonts w:hint="eastAsia" w:ascii="彩虹楷体" w:eastAsia="彩虹楷体"/>
          <w:b/>
          <w:sz w:val="32"/>
          <w:szCs w:val="32"/>
        </w:rPr>
        <w:t>（一）服务质量标准</w:t>
      </w:r>
    </w:p>
    <w:p>
      <w:pPr>
        <w:autoSpaceDE w:val="0"/>
        <w:autoSpaceDN w:val="0"/>
        <w:adjustRightInd w:val="0"/>
        <w:spacing w:line="560" w:lineRule="exact"/>
        <w:ind w:firstLine="640" w:firstLineChars="200"/>
        <w:outlineLvl w:val="2"/>
        <w:rPr>
          <w:rFonts w:ascii="彩虹粗仿宋" w:eastAsia="彩虹粗仿宋" w:cs="CHCFS"/>
          <w:kern w:val="0"/>
          <w:sz w:val="32"/>
          <w:szCs w:val="32"/>
        </w:rPr>
      </w:pPr>
      <w:r>
        <w:rPr>
          <w:rFonts w:hint="eastAsia" w:ascii="彩虹粗仿宋" w:eastAsia="彩虹粗仿宋" w:cs="CHCFS"/>
          <w:kern w:val="0"/>
          <w:sz w:val="32"/>
          <w:szCs w:val="32"/>
        </w:rPr>
        <w:t>1.保安值守服务</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cs="Times New Roman"/>
          <w:sz w:val="32"/>
          <w:szCs w:val="32"/>
        </w:rPr>
      </w:pPr>
      <w:r>
        <w:rPr>
          <w:rFonts w:hint="eastAsia" w:ascii="彩虹粗仿宋" w:hAnsi="Times New Roman" w:eastAsia="彩虹粗仿宋" w:cs="Times New Roman"/>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（8） 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（9） 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4）供应商制定自身的员工礼仪规范，应要求外包服务人员严格执行。</w:t>
      </w:r>
    </w:p>
    <w:p>
      <w:pPr>
        <w:tabs>
          <w:tab w:val="left" w:pos="720"/>
        </w:tabs>
        <w:adjustRightInd w:val="0"/>
        <w:snapToGrid w:val="0"/>
        <w:spacing w:line="560" w:lineRule="atLeast"/>
        <w:ind w:firstLine="320" w:firstLineChars="1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2.武装押运服务</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Times New Roman" w:eastAsia="彩虹粗仿宋" w:cs="Times New Roman"/>
          <w:sz w:val="32"/>
          <w:szCs w:val="32"/>
        </w:rPr>
        <w:t>（1）</w:t>
      </w:r>
      <w:r>
        <w:rPr>
          <w:rFonts w:hint="eastAsia" w:ascii="彩虹粗仿宋" w:hAnsi="宋体" w:eastAsia="彩虹粗仿宋" w:cs="Courier New"/>
          <w:sz w:val="32"/>
          <w:szCs w:val="32"/>
        </w:rPr>
        <w:t>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（2）</w:t>
      </w:r>
      <w:r>
        <w:rPr>
          <w:rFonts w:hint="eastAsia" w:ascii="彩虹粗仿宋" w:hAnsi="宋体" w:eastAsia="彩虹粗仿宋" w:cs="Courier New"/>
          <w:sz w:val="32"/>
          <w:szCs w:val="32"/>
        </w:rPr>
        <w:t>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（3）</w:t>
      </w:r>
      <w:r>
        <w:rPr>
          <w:rFonts w:hint="eastAsia" w:ascii="彩虹粗仿宋" w:hAnsi="宋体" w:eastAsia="彩虹粗仿宋" w:cs="Courier New"/>
          <w:sz w:val="32"/>
          <w:szCs w:val="32"/>
        </w:rPr>
        <w:t>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（4）</w:t>
      </w:r>
      <w:r>
        <w:rPr>
          <w:rFonts w:hint="eastAsia" w:ascii="彩虹粗仿宋" w:hAnsi="宋体" w:eastAsia="彩虹粗仿宋" w:cs="Courier New"/>
          <w:sz w:val="32"/>
          <w:szCs w:val="32"/>
        </w:rPr>
        <w:t>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（5）</w:t>
      </w:r>
      <w:r>
        <w:rPr>
          <w:rFonts w:hint="eastAsia" w:ascii="彩虹粗仿宋" w:hAnsi="宋体" w:eastAsia="彩虹粗仿宋" w:cs="Courier New"/>
          <w:sz w:val="32"/>
          <w:szCs w:val="32"/>
        </w:rPr>
        <w:t>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（6）</w:t>
      </w:r>
      <w:r>
        <w:rPr>
          <w:rFonts w:hint="eastAsia" w:ascii="彩虹粗仿宋" w:hAnsi="宋体" w:eastAsia="彩虹粗仿宋" w:cs="Courier New"/>
          <w:sz w:val="32"/>
          <w:szCs w:val="32"/>
        </w:rPr>
        <w:t>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（7）</w:t>
      </w:r>
      <w:r>
        <w:rPr>
          <w:rFonts w:hint="eastAsia" w:ascii="彩虹粗仿宋" w:hAnsi="宋体" w:eastAsia="彩虹粗仿宋" w:cs="Courier New"/>
          <w:sz w:val="32"/>
          <w:szCs w:val="32"/>
        </w:rPr>
        <w:t>专用运钞车内应按规定安装报警、电视监控、通讯器材、配备必要消防器材。</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Times New Roman" w:eastAsia="彩虹粗仿宋" w:cs="Times New Roman"/>
          <w:sz w:val="32"/>
          <w:szCs w:val="32"/>
        </w:rPr>
        <w:t>（8）</w:t>
      </w:r>
      <w:r>
        <w:rPr>
          <w:rFonts w:hint="eastAsia" w:ascii="彩虹粗仿宋" w:hAnsi="宋体" w:eastAsia="彩虹粗仿宋" w:cs="Times New Roman"/>
          <w:snapToGrid w:val="0"/>
          <w:kern w:val="0"/>
          <w:sz w:val="32"/>
          <w:szCs w:val="32"/>
        </w:rPr>
        <w:t>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3.110报警服务</w:t>
      </w:r>
    </w:p>
    <w:p>
      <w:pPr>
        <w:adjustRightInd w:val="0"/>
        <w:snapToGrid w:val="0"/>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供应商应确保与公安局“110”报警服务平台的信息畅通，达到公安部门服务的要求。做好所辖110报警设备日常的故障排查工作，确保技术人员配备，保障设备良好运行。</w:t>
      </w:r>
    </w:p>
    <w:p>
      <w:pPr>
        <w:spacing w:line="600" w:lineRule="exact"/>
        <w:ind w:firstLine="643" w:firstLineChars="200"/>
        <w:jc w:val="left"/>
        <w:outlineLvl w:val="1"/>
        <w:rPr>
          <w:rFonts w:ascii="彩虹楷体" w:hAnsi="宋体" w:eastAsia="彩虹楷体" w:cs="Times New Roman"/>
          <w:b/>
          <w:color w:val="000000"/>
          <w:kern w:val="0"/>
          <w:sz w:val="32"/>
          <w:szCs w:val="32"/>
        </w:rPr>
      </w:pPr>
      <w:r>
        <w:rPr>
          <w:rFonts w:hint="eastAsia" w:ascii="彩虹楷体" w:hAnsi="Times New Roman" w:eastAsia="彩虹楷体" w:cs="Times New Roman"/>
          <w:b/>
          <w:sz w:val="32"/>
          <w:szCs w:val="32"/>
        </w:rPr>
        <w:t>（二）</w:t>
      </w:r>
      <w:r>
        <w:rPr>
          <w:rFonts w:hint="eastAsia" w:ascii="彩虹楷体" w:hAnsi="宋体" w:eastAsia="彩虹楷体" w:cs="Times New Roman"/>
          <w:b/>
          <w:color w:val="000000"/>
          <w:kern w:val="0"/>
          <w:sz w:val="32"/>
          <w:szCs w:val="32"/>
        </w:rPr>
        <w:t>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 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应急措施</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（1）日常应急管理</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jc w:val="left"/>
        <w:outlineLvl w:val="1"/>
        <w:rPr>
          <w:rFonts w:ascii="彩虹楷体" w:hAnsi="Times New Roman" w:eastAsia="彩虹楷体" w:cs="Times New Roman"/>
          <w:b/>
          <w:sz w:val="32"/>
          <w:szCs w:val="32"/>
        </w:rPr>
      </w:pPr>
      <w:r>
        <w:rPr>
          <w:rFonts w:hint="eastAsia" w:ascii="彩虹楷体" w:hAnsi="Times New Roman" w:eastAsia="彩虹楷体" w:cs="Times New Roman"/>
          <w:b/>
          <w:sz w:val="32"/>
          <w:szCs w:val="32"/>
        </w:rPr>
        <w:t>（三）违约责任</w:t>
      </w:r>
    </w:p>
    <w:p>
      <w:pPr>
        <w:spacing w:line="600" w:lineRule="exact"/>
        <w:ind w:firstLine="640" w:firstLineChars="200"/>
        <w:jc w:val="left"/>
        <w:rPr>
          <w:rFonts w:ascii="彩虹粗仿宋" w:hAnsi="宋体" w:eastAsia="彩虹粗仿宋" w:cs="Times New Roman"/>
          <w:sz w:val="32"/>
          <w:szCs w:val="32"/>
        </w:rPr>
      </w:pPr>
      <w:r>
        <w:rPr>
          <w:rFonts w:hint="eastAsia" w:ascii="彩虹粗仿宋" w:hAnsi="Times New Roman" w:eastAsia="彩虹粗仿宋" w:cs="Times New Roman"/>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cs="Times New Roman"/>
          <w:sz w:val="32"/>
          <w:szCs w:val="32"/>
        </w:rPr>
        <w:t>供应商应当支付违约金或赔偿金的，应当在接到索赔通知后10日之内支付，或从未支付款项中抵扣相应数额的款项。</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（3）若供应商不能提供符合我行业务需要的安保服务，我行有权终止合作，且无需向供应商继续支付剩余款项。</w:t>
      </w:r>
    </w:p>
    <w:p>
      <w:pPr>
        <w:spacing w:line="600" w:lineRule="exact"/>
        <w:ind w:firstLine="643" w:firstLineChars="200"/>
        <w:jc w:val="left"/>
        <w:outlineLvl w:val="1"/>
        <w:rPr>
          <w:rFonts w:ascii="彩虹楷体" w:hAnsi="Times New Roman" w:eastAsia="彩虹楷体" w:cs="Times New Roman"/>
          <w:b/>
          <w:sz w:val="32"/>
          <w:szCs w:val="32"/>
        </w:rPr>
      </w:pPr>
      <w:r>
        <w:rPr>
          <w:rFonts w:hint="eastAsia" w:ascii="彩虹楷体" w:hAnsi="Times New Roman" w:eastAsia="彩虹楷体" w:cs="Times New Roman"/>
          <w:b/>
          <w:sz w:val="32"/>
          <w:szCs w:val="32"/>
        </w:rPr>
        <w:t>（四）验收方法</w:t>
      </w:r>
    </w:p>
    <w:p>
      <w:pPr>
        <w:adjustRightInd w:val="0"/>
        <w:snapToGrid w:val="0"/>
        <w:spacing w:line="560" w:lineRule="exact"/>
        <w:ind w:firstLine="640" w:firstLineChars="200"/>
        <w:outlineLvl w:val="2"/>
        <w:rPr>
          <w:rFonts w:ascii="彩虹粗仿宋" w:hAnsi="黑体" w:eastAsia="彩虹粗仿宋" w:cs="Times New Roman"/>
          <w:sz w:val="32"/>
          <w:szCs w:val="32"/>
        </w:rPr>
      </w:pPr>
      <w:r>
        <w:rPr>
          <w:rFonts w:hint="eastAsia" w:ascii="彩虹粗仿宋" w:hAnsi="黑体" w:eastAsia="彩虹粗仿宋" w:cs="Times New Roman"/>
          <w:sz w:val="32"/>
          <w:szCs w:val="32"/>
        </w:rPr>
        <w:t>1.保安服务</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安全保卫部每月组织开展服务测评，并根据《保安服务测评表》出具测评结果，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。合格档次支付全额服务费用，基本合格、不合格档次所有岗位均分别调减50元、100元服务费用支付，并进行约谈，连续三次不合格甲方有权终止合同。</w:t>
      </w:r>
    </w:p>
    <w:p>
      <w:pPr>
        <w:adjustRightInd w:val="0"/>
        <w:snapToGrid w:val="0"/>
        <w:spacing w:line="560" w:lineRule="exact"/>
        <w:ind w:firstLine="640" w:firstLineChars="200"/>
        <w:outlineLvl w:val="2"/>
        <w:rPr>
          <w:rFonts w:ascii="彩虹粗仿宋" w:hAnsi="宋体" w:eastAsia="彩虹粗仿宋" w:cs="Times New Roman"/>
          <w:kern w:val="0"/>
          <w:sz w:val="32"/>
          <w:szCs w:val="32"/>
        </w:rPr>
      </w:pPr>
      <w:r>
        <w:rPr>
          <w:rFonts w:hint="eastAsia" w:ascii="彩虹粗仿宋" w:hAnsi="宋体" w:eastAsia="彩虹粗仿宋" w:cs="Times New Roman"/>
          <w:kern w:val="0"/>
          <w:sz w:val="32"/>
          <w:szCs w:val="32"/>
        </w:rPr>
        <w:t>2.武装押运服务</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供应商应按照我行要求准确及时运送标的物并保证其正常，全部正常为合格；如出现标的物的遗失或损坏为不合格，供应商应照价赔偿并接受每次10000元的考核。</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3.110报警服务</w:t>
      </w:r>
    </w:p>
    <w:p>
      <w:pPr>
        <w:adjustRightInd w:val="0"/>
        <w:snapToGrid w:val="0"/>
        <w:spacing w:line="600" w:lineRule="exact"/>
        <w:ind w:firstLine="640" w:firstLineChars="200"/>
        <w:jc w:val="left"/>
        <w:rPr>
          <w:rFonts w:ascii="彩虹粗仿宋" w:hAnsi="宋体" w:eastAsia="彩虹粗仿宋"/>
          <w:sz w:val="32"/>
          <w:szCs w:val="32"/>
        </w:rPr>
      </w:pPr>
      <w:r>
        <w:rPr>
          <w:rFonts w:hint="eastAsia" w:ascii="彩虹粗仿宋" w:hAnsi="彩虹粗仿宋" w:eastAsia="彩虹粗仿宋" w:cs="彩虹粗仿宋"/>
          <w:snapToGrid w:val="0"/>
          <w:kern w:val="0"/>
          <w:sz w:val="32"/>
          <w:szCs w:val="32"/>
        </w:rPr>
        <w:t>供应商应确保与公安局“110”报警服务平台的信息畅通，达到公安部门服务的要求。做好所辖110报警设备日常的故障排查工作，确保技术人员配备，保障设备良好运行。</w:t>
      </w:r>
    </w:p>
    <w:p>
      <w:pPr>
        <w:spacing w:line="560" w:lineRule="exact"/>
        <w:ind w:firstLine="636"/>
        <w:outlineLvl w:val="1"/>
        <w:rPr>
          <w:rFonts w:ascii="彩虹楷体" w:hAnsi="宋体" w:eastAsia="彩虹楷体"/>
          <w:b/>
          <w:sz w:val="32"/>
          <w:szCs w:val="32"/>
        </w:rPr>
      </w:pPr>
      <w:r>
        <w:rPr>
          <w:rFonts w:hint="eastAsia" w:ascii="彩虹楷体" w:hAnsi="Times New Roman" w:eastAsia="彩虹楷体" w:cs="Times New Roman"/>
          <w:b/>
          <w:sz w:val="32"/>
          <w:szCs w:val="32"/>
        </w:rPr>
        <w:t>（五）</w:t>
      </w:r>
      <w:r>
        <w:rPr>
          <w:rFonts w:hint="eastAsia" w:ascii="彩虹楷体" w:hAnsi="宋体" w:eastAsia="彩虹楷体"/>
          <w:b/>
          <w:sz w:val="32"/>
          <w:szCs w:val="32"/>
        </w:rPr>
        <w:t>消保条款要求</w:t>
      </w:r>
    </w:p>
    <w:p>
      <w:pPr>
        <w:spacing w:line="560" w:lineRule="exact"/>
        <w:ind w:firstLine="636"/>
        <w:outlineLvl w:val="2"/>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cs="Times New Roman"/>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1.负责为巩义支行本部和4个网点提供安保值守服务。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2.为巩义支行4个营业网点（自助）和4个离行式自助银行提供武装守押服务。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3.巩义支行8个重要部位110联网报警服务。</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六</w:t>
      </w:r>
      <w:r>
        <w:rPr>
          <w:rFonts w:hint="eastAsia" w:ascii="彩虹黑体" w:hAnsi="宋体" w:eastAsia="彩虹黑体" w:cs="Times New Roman"/>
          <w:snapToGrid w:val="0"/>
          <w:kern w:val="0"/>
          <w:sz w:val="32"/>
          <w:szCs w:val="32"/>
        </w:rPr>
        <w:t>、服务数量要求</w:t>
      </w:r>
    </w:p>
    <w:p>
      <w:pPr>
        <w:spacing w:line="560" w:lineRule="exact"/>
        <w:ind w:firstLine="480" w:firstLineChars="150"/>
        <w:rPr>
          <w:rFonts w:ascii="彩虹粗仿宋" w:hAnsi="Times New Roman" w:eastAsia="彩虹粗仿宋" w:cs="Times New Roman"/>
          <w:sz w:val="32"/>
          <w:szCs w:val="32"/>
        </w:rPr>
      </w:pPr>
      <w:r>
        <w:rPr>
          <w:rFonts w:hint="eastAsia" w:ascii="彩虹粗仿宋" w:hAnsi="黑体" w:eastAsia="彩虹粗仿宋" w:cs="Times New Roman"/>
          <w:sz w:val="32"/>
          <w:szCs w:val="32"/>
        </w:rPr>
        <w:t>（一）巩义支行办公楼配备保安服务3个岗位；营业部、杜甫路支行、义永路支行和新</w:t>
      </w:r>
      <w:r>
        <w:rPr>
          <w:rFonts w:hint="eastAsia" w:ascii="彩虹粗仿宋" w:hAnsi="Times New Roman" w:eastAsia="彩虹粗仿宋" w:cs="Times New Roman"/>
          <w:sz w:val="32"/>
          <w:szCs w:val="32"/>
        </w:rPr>
        <w:t>兴路支行各配备保安服务2个岗位，共需1</w:t>
      </w:r>
      <w:r>
        <w:rPr>
          <w:rFonts w:ascii="彩虹粗仿宋" w:hAnsi="Times New Roman" w:eastAsia="彩虹粗仿宋" w:cs="Times New Roman"/>
          <w:sz w:val="32"/>
          <w:szCs w:val="32"/>
        </w:rPr>
        <w:t>1</w:t>
      </w:r>
      <w:r>
        <w:rPr>
          <w:rFonts w:hint="eastAsia" w:ascii="彩虹粗仿宋" w:hAnsi="Times New Roman" w:eastAsia="彩虹粗仿宋" w:cs="Times New Roman"/>
          <w:sz w:val="32"/>
          <w:szCs w:val="32"/>
        </w:rPr>
        <w:t>个岗位。</w:t>
      </w:r>
    </w:p>
    <w:p>
      <w:pPr>
        <w:spacing w:line="560" w:lineRule="exact"/>
        <w:ind w:firstLine="480" w:firstLineChars="150"/>
        <w:rPr>
          <w:rFonts w:ascii="彩虹粗仿宋" w:hAnsi="黑体" w:eastAsia="彩虹粗仿宋" w:cs="Times New Roman"/>
          <w:sz w:val="32"/>
          <w:szCs w:val="32"/>
        </w:rPr>
      </w:pPr>
      <w:r>
        <w:rPr>
          <w:rFonts w:hint="eastAsia" w:ascii="彩虹粗仿宋" w:hAnsi="Times New Roman" w:eastAsia="彩虹粗仿宋" w:cs="Times New Roman"/>
          <w:sz w:val="32"/>
          <w:szCs w:val="32"/>
        </w:rPr>
        <w:t>（二）</w:t>
      </w:r>
      <w:r>
        <w:rPr>
          <w:rFonts w:hint="eastAsia" w:ascii="彩虹粗仿宋" w:hAnsi="黑体" w:eastAsia="彩虹粗仿宋" w:cs="Times New Roman"/>
          <w:sz w:val="32"/>
          <w:szCs w:val="32"/>
        </w:rPr>
        <w:t>对巩义支行4个营网点和4个离行式自助（设备）银行提供武装守押服务，共需1辆运钞车组。</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（三）</w:t>
      </w:r>
      <w:r>
        <w:rPr>
          <w:rFonts w:hint="eastAsia" w:ascii="彩虹粗仿宋" w:hAnsi="宋体" w:eastAsia="彩虹粗仿宋" w:cs="Times New Roman"/>
          <w:snapToGrid w:val="0"/>
          <w:kern w:val="0"/>
          <w:sz w:val="32"/>
          <w:szCs w:val="32"/>
        </w:rPr>
        <w:t>巩义支行8个重要部位110联网报警服务。</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七</w:t>
      </w:r>
      <w:r>
        <w:rPr>
          <w:rFonts w:hint="eastAsia" w:ascii="彩虹黑体" w:hAnsi="宋体" w:eastAsia="彩虹黑体" w:cs="Times New Roman"/>
          <w:snapToGrid w:val="0"/>
          <w:kern w:val="0"/>
          <w:sz w:val="32"/>
          <w:szCs w:val="32"/>
        </w:rPr>
        <w:t>、款项支付要求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按月支付安保服务费，在办公、营业网点安保服务、钞币运送、110联网服务任务完成后，按照考核结果和服务数量，将上个月安保服务费用转入外包服务公司指定的银行账户，据实结算。</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八</w:t>
      </w:r>
      <w:r>
        <w:rPr>
          <w:rFonts w:hint="eastAsia" w:ascii="彩虹黑体" w:hAnsi="宋体" w:eastAsia="彩虹黑体" w:cs="Times New Roman"/>
          <w:snapToGrid w:val="0"/>
          <w:kern w:val="0"/>
          <w:sz w:val="32"/>
          <w:szCs w:val="32"/>
        </w:rPr>
        <w:t>、报价要求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（一）保安值守按“元/岗/月”进行报价，每岗每月预算含税单价为4200元，年度预算55.44万元，超出预算为无效报价。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（二）钞币运送费用按“元/车组/月”报含税单价，超过预算价103万元的报价为无效报价。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（三）110报警服务按“元/台/月”进行报警，每台每月预算含税单价为1100元，年度预算15.84万元，超出预算为无效报价。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HCFS">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7D21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2024-05-22T10:03:07Z</dcterms:created>
  <dc:creator>haccb</dc:creator>
  <cp:lastModifiedBy>haccb</cp:lastModifiedBy>
  <dcterms:modified xsi:type="dcterms:W3CDTF">2024-05-22T10:03:54Z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02C3092AC64243658771208DF801001A_12</vt:lpwstr>
  </property>
</Properties>
</file>