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360091">
      <w:pPr>
        <w:jc w:val="center"/>
        <w:rPr>
          <w:rFonts w:hint="eastAsia" w:ascii="彩虹小标宋" w:hAnsi="彩虹小标宋" w:eastAsia="彩虹小标宋" w:cs="彩虹小标宋"/>
          <w:sz w:val="36"/>
          <w:szCs w:val="36"/>
        </w:rPr>
      </w:pPr>
      <w:r>
        <w:rPr>
          <w:rFonts w:hint="eastAsia" w:ascii="彩虹小标宋" w:hAnsi="彩虹小标宋" w:eastAsia="彩虹小标宋" w:cs="彩虹小标宋"/>
          <w:sz w:val="36"/>
          <w:szCs w:val="36"/>
        </w:rPr>
        <w:t>中国建设银行股份有限公司广东省分行</w:t>
      </w:r>
    </w:p>
    <w:p w14:paraId="43E27CA3">
      <w:pPr>
        <w:jc w:val="center"/>
        <w:rPr>
          <w:rFonts w:hint="eastAsia" w:ascii="彩虹小标宋" w:hAnsi="彩虹小标宋" w:eastAsia="彩虹小标宋" w:cs="彩虹小标宋"/>
          <w:sz w:val="36"/>
          <w:szCs w:val="36"/>
        </w:rPr>
      </w:pPr>
      <w:r>
        <w:rPr>
          <w:rFonts w:hint="eastAsia" w:ascii="彩虹小标宋" w:hAnsi="彩虹小标宋" w:eastAsia="彩虹小标宋" w:cs="彩虹小标宋"/>
          <w:sz w:val="36"/>
          <w:szCs w:val="36"/>
        </w:rPr>
        <w:t>广州分行个人客户直营中心采购</w:t>
      </w:r>
      <w:r>
        <w:rPr>
          <w:rFonts w:hint="eastAsia" w:ascii="彩虹小标宋" w:hAnsi="彩虹小标宋" w:eastAsia="彩虹小标宋" w:cs="彩虹小标宋"/>
          <w:sz w:val="36"/>
          <w:szCs w:val="36"/>
          <w:lang w:val="en-US" w:eastAsia="zh-CN"/>
        </w:rPr>
        <w:t>显示器</w:t>
      </w:r>
      <w:r>
        <w:rPr>
          <w:rFonts w:hint="eastAsia" w:ascii="彩虹小标宋" w:hAnsi="彩虹小标宋" w:eastAsia="彩虹小标宋" w:cs="彩虹小标宋"/>
          <w:sz w:val="36"/>
          <w:szCs w:val="36"/>
        </w:rPr>
        <w:t>项目采购需求</w:t>
      </w:r>
    </w:p>
    <w:p w14:paraId="7BBF2C42">
      <w:pPr>
        <w:ind w:firstLine="640" w:firstLineChars="200"/>
        <w:rPr>
          <w:rFonts w:hint="default" w:ascii="彩虹黑体" w:hAnsi="彩虹黑体" w:eastAsia="彩虹黑体" w:cs="彩虹黑体"/>
          <w:sz w:val="32"/>
          <w:szCs w:val="32"/>
          <w:lang w:val="en-US" w:eastAsia="zh-CN"/>
        </w:rPr>
      </w:pPr>
      <w:r>
        <w:rPr>
          <w:rFonts w:hint="eastAsia" w:ascii="彩虹黑体" w:hAnsi="彩虹黑体" w:eastAsia="彩虹黑体" w:cs="彩虹黑体"/>
          <w:sz w:val="32"/>
          <w:szCs w:val="32"/>
        </w:rPr>
        <w:t>一、</w:t>
      </w:r>
      <w:r>
        <w:rPr>
          <w:rFonts w:hint="eastAsia" w:ascii="彩虹黑体" w:hAnsi="彩虹黑体" w:eastAsia="彩虹黑体" w:cs="彩虹黑体"/>
          <w:sz w:val="32"/>
          <w:szCs w:val="32"/>
          <w:lang w:val="en-US" w:eastAsia="zh-CN"/>
        </w:rPr>
        <w:t>服务背景</w:t>
      </w:r>
    </w:p>
    <w:p w14:paraId="11D23278">
      <w:pPr>
        <w:ind w:firstLine="640" w:firstLineChars="200"/>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rPr>
        <w:t>为完善</w:t>
      </w:r>
      <w:r>
        <w:rPr>
          <w:rFonts w:hint="eastAsia" w:ascii="彩虹粗仿宋" w:hAnsi="彩虹粗仿宋" w:eastAsia="彩虹粗仿宋" w:cs="彩虹粗仿宋"/>
          <w:sz w:val="32"/>
          <w:szCs w:val="32"/>
          <w:lang w:val="en-US" w:eastAsia="zh-CN"/>
        </w:rPr>
        <w:t>广州分行</w:t>
      </w:r>
      <w:r>
        <w:rPr>
          <w:rFonts w:hint="eastAsia" w:ascii="彩虹粗仿宋" w:hAnsi="彩虹粗仿宋" w:eastAsia="彩虹粗仿宋" w:cs="彩虹粗仿宋"/>
          <w:sz w:val="32"/>
          <w:szCs w:val="32"/>
        </w:rPr>
        <w:t>个人客户直营中心职场建设，做好线上客户经营，加速推进队伍扩围、职场建设、模式创新等重点事项，我部拟统一为直营经理及中台人员提供</w:t>
      </w:r>
      <w:r>
        <w:rPr>
          <w:rFonts w:hint="eastAsia" w:ascii="彩虹粗仿宋" w:hAnsi="彩虹粗仿宋" w:eastAsia="彩虹粗仿宋" w:cs="彩虹粗仿宋"/>
          <w:sz w:val="32"/>
          <w:szCs w:val="32"/>
          <w:lang w:val="en-US" w:eastAsia="zh-CN"/>
        </w:rPr>
        <w:t>超宽曲面屏显示器设备</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lang w:val="en-US" w:eastAsia="zh-CN"/>
        </w:rPr>
        <w:t>更好地服务客户、提升我行市场竞争力。</w:t>
      </w:r>
    </w:p>
    <w:p w14:paraId="3BC73466">
      <w:pPr>
        <w:ind w:firstLine="640" w:firstLineChars="200"/>
        <w:rPr>
          <w:rFonts w:hint="eastAsia" w:ascii="彩虹楷体" w:hAnsi="彩虹楷体" w:eastAsia="彩虹楷体" w:cs="彩虹楷体"/>
          <w:b/>
          <w:bCs/>
          <w:sz w:val="32"/>
          <w:szCs w:val="32"/>
        </w:rPr>
      </w:pPr>
      <w:r>
        <w:rPr>
          <w:rFonts w:hint="eastAsia" w:ascii="彩虹黑体" w:hAnsi="彩虹黑体" w:eastAsia="彩虹黑体" w:cs="彩虹黑体"/>
          <w:sz w:val="32"/>
          <w:szCs w:val="32"/>
          <w:lang w:val="en-US" w:eastAsia="zh-CN"/>
        </w:rPr>
        <w:t>二、</w:t>
      </w:r>
      <w:r>
        <w:rPr>
          <w:rFonts w:hint="eastAsia" w:ascii="彩虹黑体" w:hAnsi="彩虹黑体" w:eastAsia="彩虹黑体" w:cs="彩虹黑体"/>
          <w:sz w:val="32"/>
          <w:szCs w:val="32"/>
        </w:rPr>
        <w:t>服务内容</w:t>
      </w:r>
    </w:p>
    <w:p w14:paraId="3F2F127E">
      <w:pPr>
        <w:spacing w:line="560" w:lineRule="exact"/>
        <w:ind w:firstLine="640" w:firstLineChars="200"/>
        <w:rPr>
          <w:rFonts w:hint="eastAsia" w:ascii="彩虹粗仿宋" w:hAnsi="彩虹粗仿宋" w:eastAsia="彩虹粗仿宋" w:cs="彩虹粗仿宋"/>
          <w:b/>
          <w:sz w:val="32"/>
          <w:szCs w:val="48"/>
        </w:rPr>
      </w:pPr>
      <w:r>
        <w:rPr>
          <w:rFonts w:hint="eastAsia" w:ascii="彩虹粗仿宋" w:hAnsi="彩虹粗仿宋" w:eastAsia="彩虹粗仿宋" w:cs="彩虹粗仿宋"/>
          <w:sz w:val="32"/>
          <w:szCs w:val="36"/>
        </w:rPr>
        <w:t>本次采购</w:t>
      </w:r>
      <w:r>
        <w:rPr>
          <w:rFonts w:hint="eastAsia" w:ascii="彩虹粗仿宋" w:hAnsi="彩虹粗仿宋" w:eastAsia="彩虹粗仿宋" w:cs="彩虹粗仿宋"/>
          <w:sz w:val="32"/>
          <w:szCs w:val="36"/>
          <w:lang w:val="en-US" w:eastAsia="zh-CN"/>
        </w:rPr>
        <w:t>需</w:t>
      </w:r>
      <w:r>
        <w:rPr>
          <w:rFonts w:hint="eastAsia" w:ascii="彩虹粗仿宋" w:hAnsi="彩虹粗仿宋" w:eastAsia="彩虹粗仿宋" w:cs="彩虹粗仿宋"/>
          <w:sz w:val="32"/>
          <w:szCs w:val="36"/>
        </w:rPr>
        <w:t>由</w:t>
      </w:r>
      <w:r>
        <w:rPr>
          <w:rFonts w:hint="eastAsia" w:ascii="彩虹粗仿宋" w:hAnsi="彩虹粗仿宋" w:eastAsia="彩虹粗仿宋" w:cs="彩虹粗仿宋"/>
          <w:sz w:val="32"/>
          <w:szCs w:val="36"/>
          <w:lang w:val="en-US" w:eastAsia="zh-CN"/>
        </w:rPr>
        <w:t>供应商</w:t>
      </w:r>
      <w:r>
        <w:rPr>
          <w:rFonts w:hint="eastAsia" w:ascii="彩虹粗仿宋" w:hAnsi="彩虹粗仿宋" w:eastAsia="彩虹粗仿宋" w:cs="彩虹粗仿宋"/>
          <w:sz w:val="32"/>
          <w:szCs w:val="36"/>
        </w:rPr>
        <w:t>机构提供</w:t>
      </w:r>
      <w:r>
        <w:rPr>
          <w:rFonts w:hint="eastAsia" w:ascii="彩虹粗仿宋" w:hAnsi="彩虹粗仿宋" w:eastAsia="彩虹粗仿宋" w:cs="彩虹粗仿宋"/>
          <w:sz w:val="32"/>
          <w:szCs w:val="36"/>
          <w:lang w:val="en-US" w:eastAsia="zh-CN"/>
        </w:rPr>
        <w:t>能够满足我行指定需求的产品</w:t>
      </w:r>
      <w:r>
        <w:rPr>
          <w:rFonts w:hint="eastAsia" w:ascii="彩虹粗仿宋" w:hAnsi="彩虹粗仿宋" w:eastAsia="彩虹粗仿宋" w:cs="彩虹粗仿宋"/>
          <w:sz w:val="32"/>
          <w:szCs w:val="36"/>
        </w:rPr>
        <w:t>，具体</w:t>
      </w:r>
      <w:r>
        <w:rPr>
          <w:rFonts w:hint="eastAsia" w:ascii="彩虹粗仿宋" w:hAnsi="彩虹粗仿宋" w:eastAsia="彩虹粗仿宋" w:cs="彩虹粗仿宋"/>
          <w:sz w:val="32"/>
          <w:szCs w:val="36"/>
          <w:lang w:val="en-US" w:eastAsia="zh-CN"/>
        </w:rPr>
        <w:t>需求</w:t>
      </w:r>
      <w:r>
        <w:rPr>
          <w:rFonts w:hint="eastAsia" w:ascii="彩虹粗仿宋" w:hAnsi="彩虹粗仿宋" w:eastAsia="彩虹粗仿宋" w:cs="彩虹粗仿宋"/>
          <w:sz w:val="32"/>
          <w:szCs w:val="36"/>
        </w:rPr>
        <w:t>如下</w:t>
      </w:r>
      <w:r>
        <w:rPr>
          <w:rFonts w:hint="eastAsia" w:ascii="彩虹粗仿宋" w:hAnsi="彩虹粗仿宋" w:eastAsia="彩虹粗仿宋" w:cs="彩虹粗仿宋"/>
          <w:b/>
          <w:sz w:val="32"/>
          <w:szCs w:val="48"/>
        </w:rPr>
        <w:t>：</w:t>
      </w:r>
    </w:p>
    <w:p w14:paraId="40CF7E4F">
      <w:pPr>
        <w:spacing w:line="560" w:lineRule="exact"/>
        <w:ind w:firstLine="643" w:firstLineChars="200"/>
        <w:rPr>
          <w:rFonts w:hint="eastAsia" w:ascii="彩虹粗仿宋" w:hAnsi="彩虹粗仿宋" w:eastAsia="彩虹粗仿宋" w:cs="彩虹粗仿宋"/>
          <w:b/>
          <w:sz w:val="32"/>
          <w:szCs w:val="48"/>
        </w:rPr>
      </w:pPr>
    </w:p>
    <w:tbl>
      <w:tblPr>
        <w:tblStyle w:val="5"/>
        <w:tblW w:w="7757" w:type="dxa"/>
        <w:tblInd w:w="715" w:type="dxa"/>
        <w:tblLayout w:type="autofit"/>
        <w:tblCellMar>
          <w:top w:w="0" w:type="dxa"/>
          <w:left w:w="108" w:type="dxa"/>
          <w:bottom w:w="0" w:type="dxa"/>
          <w:right w:w="108" w:type="dxa"/>
        </w:tblCellMar>
      </w:tblPr>
      <w:tblGrid>
        <w:gridCol w:w="2040"/>
        <w:gridCol w:w="5717"/>
      </w:tblGrid>
      <w:tr w14:paraId="1997595D">
        <w:tblPrEx>
          <w:tblCellMar>
            <w:top w:w="0" w:type="dxa"/>
            <w:left w:w="108" w:type="dxa"/>
            <w:bottom w:w="0" w:type="dxa"/>
            <w:right w:w="108" w:type="dxa"/>
          </w:tblCellMar>
        </w:tblPrEx>
        <w:trPr>
          <w:trHeight w:val="357" w:hRule="atLeast"/>
        </w:trPr>
        <w:tc>
          <w:tcPr>
            <w:tcW w:w="2040" w:type="dxa"/>
            <w:tcBorders>
              <w:top w:val="single" w:color="auto" w:sz="4" w:space="0"/>
              <w:left w:val="single" w:color="auto" w:sz="4" w:space="0"/>
              <w:bottom w:val="single" w:color="auto" w:sz="4" w:space="0"/>
              <w:right w:val="single" w:color="auto" w:sz="4" w:space="0"/>
            </w:tcBorders>
            <w:noWrap w:val="0"/>
            <w:vAlign w:val="center"/>
          </w:tcPr>
          <w:p w14:paraId="770A2B49">
            <w:pPr>
              <w:widowControl/>
              <w:spacing w:line="560" w:lineRule="exact"/>
              <w:jc w:val="left"/>
              <w:rPr>
                <w:rFonts w:hint="eastAsia" w:ascii="彩虹粗仿宋" w:hAnsi="彩虹粗仿宋" w:eastAsia="彩虹粗仿宋" w:cs="彩虹粗仿宋"/>
                <w:b/>
                <w:bCs/>
                <w:color w:val="000000"/>
                <w:kern w:val="0"/>
                <w:sz w:val="28"/>
                <w:szCs w:val="28"/>
              </w:rPr>
            </w:pPr>
            <w:r>
              <w:rPr>
                <w:rFonts w:hint="eastAsia" w:ascii="彩虹粗仿宋" w:hAnsi="彩虹粗仿宋" w:eastAsia="彩虹粗仿宋" w:cs="彩虹粗仿宋"/>
                <w:b/>
                <w:bCs/>
                <w:color w:val="000000"/>
                <w:kern w:val="0"/>
                <w:sz w:val="28"/>
                <w:szCs w:val="28"/>
                <w:lang w:val="en-US" w:eastAsia="zh-CN"/>
              </w:rPr>
              <w:t>需求</w:t>
            </w:r>
            <w:r>
              <w:rPr>
                <w:rFonts w:hint="eastAsia" w:ascii="彩虹粗仿宋" w:hAnsi="彩虹粗仿宋" w:eastAsia="彩虹粗仿宋" w:cs="彩虹粗仿宋"/>
                <w:b/>
                <w:bCs/>
                <w:color w:val="000000"/>
                <w:kern w:val="0"/>
                <w:sz w:val="28"/>
                <w:szCs w:val="28"/>
              </w:rPr>
              <w:t>内容</w:t>
            </w:r>
          </w:p>
        </w:tc>
        <w:tc>
          <w:tcPr>
            <w:tcW w:w="5717" w:type="dxa"/>
            <w:tcBorders>
              <w:top w:val="single" w:color="auto" w:sz="4" w:space="0"/>
              <w:left w:val="nil"/>
              <w:bottom w:val="single" w:color="auto" w:sz="4" w:space="0"/>
              <w:right w:val="single" w:color="auto" w:sz="4" w:space="0"/>
            </w:tcBorders>
            <w:noWrap w:val="0"/>
            <w:vAlign w:val="center"/>
          </w:tcPr>
          <w:p w14:paraId="4FCC8D70">
            <w:pPr>
              <w:widowControl/>
              <w:spacing w:line="560" w:lineRule="exact"/>
              <w:jc w:val="left"/>
              <w:rPr>
                <w:rFonts w:hint="eastAsia" w:ascii="彩虹粗仿宋" w:hAnsi="彩虹粗仿宋" w:eastAsia="彩虹粗仿宋" w:cs="彩虹粗仿宋"/>
                <w:b/>
                <w:bCs/>
                <w:color w:val="000000"/>
                <w:kern w:val="0"/>
                <w:sz w:val="28"/>
                <w:szCs w:val="28"/>
              </w:rPr>
            </w:pPr>
            <w:r>
              <w:rPr>
                <w:rFonts w:hint="eastAsia" w:ascii="彩虹粗仿宋" w:hAnsi="彩虹粗仿宋" w:eastAsia="彩虹粗仿宋" w:cs="彩虹粗仿宋"/>
                <w:b/>
                <w:bCs/>
                <w:color w:val="000000"/>
                <w:kern w:val="0"/>
                <w:sz w:val="28"/>
                <w:szCs w:val="28"/>
              </w:rPr>
              <w:t>说明</w:t>
            </w:r>
          </w:p>
        </w:tc>
      </w:tr>
      <w:tr w14:paraId="05E40A37">
        <w:tblPrEx>
          <w:tblCellMar>
            <w:top w:w="0" w:type="dxa"/>
            <w:left w:w="108" w:type="dxa"/>
            <w:bottom w:w="0" w:type="dxa"/>
            <w:right w:w="108" w:type="dxa"/>
          </w:tblCellMar>
        </w:tblPrEx>
        <w:trPr>
          <w:trHeight w:val="479" w:hRule="atLeast"/>
        </w:trPr>
        <w:tc>
          <w:tcPr>
            <w:tcW w:w="2040" w:type="dxa"/>
            <w:tcBorders>
              <w:top w:val="nil"/>
              <w:left w:val="single" w:color="auto" w:sz="4" w:space="0"/>
              <w:bottom w:val="single" w:color="auto" w:sz="4" w:space="0"/>
              <w:right w:val="single" w:color="auto" w:sz="4" w:space="0"/>
            </w:tcBorders>
            <w:noWrap w:val="0"/>
            <w:vAlign w:val="center"/>
          </w:tcPr>
          <w:p w14:paraId="076E4CE7">
            <w:pPr>
              <w:widowControl/>
              <w:spacing w:line="560" w:lineRule="exact"/>
              <w:jc w:val="left"/>
              <w:rPr>
                <w:rFonts w:hint="default" w:ascii="彩虹粗仿宋" w:hAnsi="彩虹粗仿宋" w:eastAsia="彩虹粗仿宋" w:cs="彩虹粗仿宋"/>
                <w:color w:val="000000"/>
                <w:kern w:val="0"/>
                <w:sz w:val="28"/>
                <w:szCs w:val="28"/>
                <w:lang w:val="en-US" w:eastAsia="zh-CN"/>
              </w:rPr>
            </w:pPr>
            <w:r>
              <w:rPr>
                <w:rFonts w:hint="eastAsia" w:ascii="彩虹粗仿宋" w:hAnsi="彩虹粗仿宋" w:eastAsia="彩虹粗仿宋" w:cs="彩虹粗仿宋"/>
                <w:color w:val="000000"/>
                <w:kern w:val="0"/>
                <w:sz w:val="28"/>
                <w:szCs w:val="28"/>
                <w:lang w:val="en-US" w:eastAsia="zh-CN"/>
              </w:rPr>
              <w:t>屏幕尺寸</w:t>
            </w:r>
          </w:p>
        </w:tc>
        <w:tc>
          <w:tcPr>
            <w:tcW w:w="5717" w:type="dxa"/>
            <w:tcBorders>
              <w:top w:val="nil"/>
              <w:left w:val="nil"/>
              <w:bottom w:val="single" w:color="auto" w:sz="4" w:space="0"/>
              <w:right w:val="single" w:color="auto" w:sz="4" w:space="0"/>
            </w:tcBorders>
            <w:noWrap w:val="0"/>
            <w:vAlign w:val="center"/>
          </w:tcPr>
          <w:p w14:paraId="5140C243">
            <w:pPr>
              <w:widowControl/>
              <w:spacing w:line="560" w:lineRule="exact"/>
              <w:jc w:val="left"/>
              <w:rPr>
                <w:rFonts w:hint="eastAsia" w:ascii="彩虹粗仿宋" w:hAnsi="彩虹粗仿宋" w:eastAsia="彩虹粗仿宋" w:cs="彩虹粗仿宋"/>
                <w:color w:val="000000"/>
                <w:kern w:val="0"/>
                <w:sz w:val="28"/>
                <w:szCs w:val="28"/>
              </w:rPr>
            </w:pPr>
            <w:r>
              <w:rPr>
                <w:rFonts w:hint="eastAsia" w:ascii="彩虹粗仿宋" w:hAnsi="彩虹粗仿宋" w:eastAsia="彩虹粗仿宋" w:cs="彩虹粗仿宋"/>
                <w:color w:val="000000"/>
                <w:kern w:val="0"/>
                <w:sz w:val="28"/>
                <w:szCs w:val="28"/>
                <w:lang w:val="en-US" w:eastAsia="zh-CN"/>
              </w:rPr>
              <w:t>34英寸，通常比例21：9、超宽曲面屏</w:t>
            </w:r>
            <w:r>
              <w:rPr>
                <w:rFonts w:hint="eastAsia" w:ascii="彩虹粗仿宋" w:hAnsi="彩虹粗仿宋" w:eastAsia="彩虹粗仿宋" w:cs="彩虹粗仿宋"/>
                <w:color w:val="000000"/>
                <w:kern w:val="0"/>
                <w:sz w:val="28"/>
                <w:szCs w:val="28"/>
              </w:rPr>
              <w:t>；</w:t>
            </w:r>
          </w:p>
        </w:tc>
      </w:tr>
      <w:tr w14:paraId="2EF59773">
        <w:tblPrEx>
          <w:tblCellMar>
            <w:top w:w="0" w:type="dxa"/>
            <w:left w:w="108" w:type="dxa"/>
            <w:bottom w:w="0" w:type="dxa"/>
            <w:right w:w="108" w:type="dxa"/>
          </w:tblCellMar>
        </w:tblPrEx>
        <w:trPr>
          <w:trHeight w:val="479" w:hRule="atLeast"/>
        </w:trPr>
        <w:tc>
          <w:tcPr>
            <w:tcW w:w="2040" w:type="dxa"/>
            <w:tcBorders>
              <w:top w:val="nil"/>
              <w:left w:val="single" w:color="auto" w:sz="4" w:space="0"/>
              <w:bottom w:val="single" w:color="auto" w:sz="4" w:space="0"/>
              <w:right w:val="single" w:color="auto" w:sz="4" w:space="0"/>
            </w:tcBorders>
            <w:noWrap w:val="0"/>
            <w:vAlign w:val="center"/>
          </w:tcPr>
          <w:p w14:paraId="66F23BF8">
            <w:pPr>
              <w:widowControl/>
              <w:spacing w:line="560" w:lineRule="exact"/>
              <w:jc w:val="left"/>
              <w:rPr>
                <w:rFonts w:hint="default" w:ascii="彩虹粗仿宋" w:hAnsi="彩虹粗仿宋" w:eastAsia="彩虹粗仿宋" w:cs="彩虹粗仿宋"/>
                <w:color w:val="000000"/>
                <w:kern w:val="0"/>
                <w:sz w:val="28"/>
                <w:szCs w:val="28"/>
                <w:lang w:val="en-US" w:eastAsia="zh-CN"/>
              </w:rPr>
            </w:pPr>
            <w:r>
              <w:rPr>
                <w:rFonts w:hint="eastAsia" w:ascii="彩虹粗仿宋" w:hAnsi="彩虹粗仿宋" w:eastAsia="彩虹粗仿宋" w:cs="彩虹粗仿宋"/>
                <w:color w:val="000000"/>
                <w:kern w:val="0"/>
                <w:sz w:val="28"/>
                <w:szCs w:val="28"/>
                <w:lang w:val="en-US" w:eastAsia="zh-CN"/>
              </w:rPr>
              <w:t>接口</w:t>
            </w:r>
          </w:p>
        </w:tc>
        <w:tc>
          <w:tcPr>
            <w:tcW w:w="5717" w:type="dxa"/>
            <w:tcBorders>
              <w:top w:val="nil"/>
              <w:left w:val="nil"/>
              <w:bottom w:val="single" w:color="auto" w:sz="4" w:space="0"/>
              <w:right w:val="single" w:color="auto" w:sz="4" w:space="0"/>
            </w:tcBorders>
            <w:noWrap w:val="0"/>
            <w:vAlign w:val="center"/>
          </w:tcPr>
          <w:p w14:paraId="07230E29">
            <w:pPr>
              <w:widowControl/>
              <w:spacing w:line="560" w:lineRule="exact"/>
              <w:jc w:val="left"/>
              <w:rPr>
                <w:rFonts w:hint="default" w:ascii="彩虹粗仿宋" w:hAnsi="彩虹粗仿宋" w:eastAsia="彩虹粗仿宋" w:cs="彩虹粗仿宋"/>
                <w:color w:val="000000"/>
                <w:kern w:val="0"/>
                <w:sz w:val="28"/>
                <w:szCs w:val="28"/>
                <w:lang w:val="en-US" w:eastAsia="zh-CN"/>
              </w:rPr>
            </w:pPr>
            <w:r>
              <w:rPr>
                <w:rFonts w:hint="eastAsia" w:ascii="彩虹粗仿宋" w:hAnsi="彩虹粗仿宋" w:eastAsia="彩虹粗仿宋" w:cs="彩虹粗仿宋"/>
                <w:color w:val="000000"/>
                <w:kern w:val="0"/>
                <w:sz w:val="28"/>
                <w:szCs w:val="28"/>
                <w:lang w:val="en-US" w:eastAsia="zh-CN"/>
              </w:rPr>
              <w:t>至少2个HDMI2.0、1个DP1.2及以上接口</w:t>
            </w:r>
          </w:p>
        </w:tc>
      </w:tr>
      <w:tr w14:paraId="41A22243">
        <w:tblPrEx>
          <w:tblCellMar>
            <w:top w:w="0" w:type="dxa"/>
            <w:left w:w="108" w:type="dxa"/>
            <w:bottom w:w="0" w:type="dxa"/>
            <w:right w:w="108" w:type="dxa"/>
          </w:tblCellMar>
        </w:tblPrEx>
        <w:trPr>
          <w:trHeight w:val="613" w:hRule="atLeast"/>
        </w:trPr>
        <w:tc>
          <w:tcPr>
            <w:tcW w:w="2040" w:type="dxa"/>
            <w:tcBorders>
              <w:top w:val="nil"/>
              <w:left w:val="single" w:color="auto" w:sz="4" w:space="0"/>
              <w:bottom w:val="single" w:color="auto" w:sz="4" w:space="0"/>
              <w:right w:val="single" w:color="auto" w:sz="4" w:space="0"/>
            </w:tcBorders>
            <w:noWrap w:val="0"/>
            <w:vAlign w:val="center"/>
          </w:tcPr>
          <w:p w14:paraId="73FA5388">
            <w:pPr>
              <w:widowControl/>
              <w:spacing w:line="560" w:lineRule="exact"/>
              <w:jc w:val="left"/>
              <w:rPr>
                <w:rFonts w:hint="default" w:ascii="彩虹粗仿宋" w:hAnsi="彩虹粗仿宋" w:eastAsia="彩虹粗仿宋" w:cs="彩虹粗仿宋"/>
                <w:color w:val="000000"/>
                <w:kern w:val="0"/>
                <w:sz w:val="28"/>
                <w:szCs w:val="28"/>
                <w:lang w:val="en-US" w:eastAsia="zh-CN"/>
              </w:rPr>
            </w:pPr>
            <w:r>
              <w:rPr>
                <w:rFonts w:hint="eastAsia" w:ascii="彩虹粗仿宋" w:hAnsi="彩虹粗仿宋" w:eastAsia="彩虹粗仿宋" w:cs="彩虹粗仿宋"/>
                <w:color w:val="000000"/>
                <w:kern w:val="0"/>
                <w:sz w:val="28"/>
                <w:szCs w:val="28"/>
                <w:lang w:val="en-US" w:eastAsia="zh-CN"/>
              </w:rPr>
              <w:t>支架</w:t>
            </w:r>
          </w:p>
        </w:tc>
        <w:tc>
          <w:tcPr>
            <w:tcW w:w="5717" w:type="dxa"/>
            <w:tcBorders>
              <w:top w:val="nil"/>
              <w:left w:val="nil"/>
              <w:bottom w:val="single" w:color="auto" w:sz="4" w:space="0"/>
              <w:right w:val="single" w:color="auto" w:sz="4" w:space="0"/>
            </w:tcBorders>
            <w:noWrap w:val="0"/>
            <w:vAlign w:val="center"/>
          </w:tcPr>
          <w:p w14:paraId="11944888">
            <w:pPr>
              <w:widowControl/>
              <w:spacing w:line="560" w:lineRule="exact"/>
              <w:jc w:val="left"/>
              <w:rPr>
                <w:rFonts w:hint="eastAsia" w:ascii="彩虹粗仿宋" w:hAnsi="彩虹粗仿宋" w:eastAsia="彩虹粗仿宋" w:cs="彩虹粗仿宋"/>
                <w:color w:val="000000"/>
                <w:kern w:val="0"/>
                <w:sz w:val="28"/>
                <w:szCs w:val="28"/>
              </w:rPr>
            </w:pPr>
            <w:r>
              <w:rPr>
                <w:rFonts w:hint="eastAsia" w:ascii="彩虹粗仿宋" w:hAnsi="彩虹粗仿宋" w:eastAsia="彩虹粗仿宋" w:cs="彩虹粗仿宋"/>
                <w:color w:val="000000"/>
                <w:kern w:val="0"/>
                <w:sz w:val="28"/>
                <w:szCs w:val="28"/>
                <w:lang w:val="en-US" w:eastAsia="zh-CN"/>
              </w:rPr>
              <w:t>支持升降功能</w:t>
            </w:r>
            <w:r>
              <w:rPr>
                <w:rFonts w:hint="eastAsia" w:ascii="彩虹粗仿宋" w:hAnsi="彩虹粗仿宋" w:eastAsia="彩虹粗仿宋" w:cs="彩虹粗仿宋"/>
                <w:color w:val="000000"/>
                <w:kern w:val="0"/>
                <w:sz w:val="28"/>
                <w:szCs w:val="28"/>
              </w:rPr>
              <w:t>；</w:t>
            </w:r>
          </w:p>
        </w:tc>
      </w:tr>
      <w:tr w14:paraId="493B227C">
        <w:tblPrEx>
          <w:tblCellMar>
            <w:top w:w="0" w:type="dxa"/>
            <w:left w:w="108" w:type="dxa"/>
            <w:bottom w:w="0" w:type="dxa"/>
            <w:right w:w="108" w:type="dxa"/>
          </w:tblCellMar>
        </w:tblPrEx>
        <w:trPr>
          <w:trHeight w:val="613" w:hRule="atLeast"/>
        </w:trPr>
        <w:tc>
          <w:tcPr>
            <w:tcW w:w="2040" w:type="dxa"/>
            <w:tcBorders>
              <w:top w:val="nil"/>
              <w:left w:val="single" w:color="auto" w:sz="4" w:space="0"/>
              <w:bottom w:val="single" w:color="auto" w:sz="4" w:space="0"/>
              <w:right w:val="single" w:color="auto" w:sz="4" w:space="0"/>
            </w:tcBorders>
            <w:shd w:val="clear"/>
            <w:noWrap w:val="0"/>
            <w:vAlign w:val="center"/>
          </w:tcPr>
          <w:p w14:paraId="37C82C08">
            <w:pPr>
              <w:widowControl/>
              <w:spacing w:line="560" w:lineRule="exact"/>
              <w:jc w:val="left"/>
              <w:rPr>
                <w:rFonts w:hint="eastAsia" w:ascii="彩虹粗仿宋" w:hAnsi="彩虹粗仿宋" w:eastAsia="彩虹粗仿宋" w:cs="彩虹粗仿宋"/>
                <w:color w:val="000000"/>
                <w:kern w:val="0"/>
                <w:sz w:val="28"/>
                <w:szCs w:val="28"/>
                <w:lang w:val="en-US" w:eastAsia="zh-CN" w:bidi="ar-SA"/>
              </w:rPr>
            </w:pPr>
            <w:r>
              <w:rPr>
                <w:rFonts w:hint="eastAsia" w:ascii="彩虹粗仿宋" w:hAnsi="彩虹粗仿宋" w:eastAsia="彩虹粗仿宋" w:cs="彩虹粗仿宋"/>
                <w:color w:val="000000"/>
                <w:kern w:val="0"/>
                <w:sz w:val="28"/>
                <w:szCs w:val="28"/>
                <w:lang w:val="en-US" w:eastAsia="zh-CN"/>
              </w:rPr>
              <w:t>电源</w:t>
            </w:r>
          </w:p>
        </w:tc>
        <w:tc>
          <w:tcPr>
            <w:tcW w:w="5717" w:type="dxa"/>
            <w:tcBorders>
              <w:top w:val="nil"/>
              <w:left w:val="nil"/>
              <w:bottom w:val="single" w:color="auto" w:sz="4" w:space="0"/>
              <w:right w:val="single" w:color="auto" w:sz="4" w:space="0"/>
            </w:tcBorders>
            <w:shd w:val="clear"/>
            <w:noWrap w:val="0"/>
            <w:vAlign w:val="center"/>
          </w:tcPr>
          <w:p w14:paraId="4A5CDA8E">
            <w:pPr>
              <w:widowControl/>
              <w:spacing w:line="560" w:lineRule="exact"/>
              <w:jc w:val="left"/>
              <w:rPr>
                <w:rFonts w:hint="eastAsia" w:ascii="彩虹粗仿宋" w:hAnsi="彩虹粗仿宋" w:eastAsia="彩虹粗仿宋" w:cs="彩虹粗仿宋"/>
                <w:color w:val="000000"/>
                <w:kern w:val="0"/>
                <w:sz w:val="28"/>
                <w:szCs w:val="28"/>
                <w:lang w:val="en-US" w:eastAsia="zh-CN" w:bidi="ar-SA"/>
              </w:rPr>
            </w:pPr>
            <w:r>
              <w:rPr>
                <w:rFonts w:hint="eastAsia" w:ascii="彩虹粗仿宋" w:hAnsi="彩虹粗仿宋" w:eastAsia="彩虹粗仿宋" w:cs="彩虹粗仿宋"/>
                <w:color w:val="000000"/>
                <w:kern w:val="0"/>
                <w:sz w:val="28"/>
                <w:szCs w:val="28"/>
                <w:lang w:val="en-US" w:eastAsia="zh-CN"/>
              </w:rPr>
              <w:t>具备内置电源</w:t>
            </w:r>
            <w:r>
              <w:rPr>
                <w:rFonts w:hint="eastAsia" w:ascii="彩虹粗仿宋" w:hAnsi="彩虹粗仿宋" w:eastAsia="彩虹粗仿宋" w:cs="彩虹粗仿宋"/>
                <w:color w:val="000000"/>
                <w:kern w:val="0"/>
                <w:sz w:val="28"/>
                <w:szCs w:val="28"/>
              </w:rPr>
              <w:t>；</w:t>
            </w:r>
          </w:p>
        </w:tc>
      </w:tr>
      <w:tr w14:paraId="09F9942D">
        <w:tblPrEx>
          <w:tblCellMar>
            <w:top w:w="0" w:type="dxa"/>
            <w:left w:w="108" w:type="dxa"/>
            <w:bottom w:w="0" w:type="dxa"/>
            <w:right w:w="108" w:type="dxa"/>
          </w:tblCellMar>
        </w:tblPrEx>
        <w:trPr>
          <w:trHeight w:val="830" w:hRule="atLeast"/>
        </w:trPr>
        <w:tc>
          <w:tcPr>
            <w:tcW w:w="2040" w:type="dxa"/>
            <w:tcBorders>
              <w:top w:val="nil"/>
              <w:left w:val="single" w:color="auto" w:sz="4" w:space="0"/>
              <w:bottom w:val="single" w:color="auto" w:sz="4" w:space="0"/>
              <w:right w:val="single" w:color="auto" w:sz="4" w:space="0"/>
            </w:tcBorders>
            <w:shd w:val="clear" w:color="auto" w:fill="auto"/>
            <w:noWrap w:val="0"/>
            <w:vAlign w:val="center"/>
          </w:tcPr>
          <w:p w14:paraId="486CBF1C">
            <w:pPr>
              <w:widowControl/>
              <w:spacing w:line="560" w:lineRule="exact"/>
              <w:jc w:val="left"/>
              <w:rPr>
                <w:rFonts w:hint="eastAsia" w:ascii="彩虹粗仿宋" w:hAnsi="彩虹粗仿宋" w:eastAsia="彩虹粗仿宋" w:cs="彩虹粗仿宋"/>
                <w:color w:val="000000"/>
                <w:kern w:val="0"/>
                <w:sz w:val="28"/>
                <w:szCs w:val="28"/>
                <w:lang w:val="en-US" w:eastAsia="zh-CN" w:bidi="ar-SA"/>
              </w:rPr>
            </w:pPr>
            <w:r>
              <w:rPr>
                <w:rFonts w:hint="eastAsia" w:ascii="彩虹粗仿宋" w:hAnsi="彩虹粗仿宋" w:eastAsia="彩虹粗仿宋" w:cs="彩虹粗仿宋"/>
                <w:color w:val="000000"/>
                <w:kern w:val="0"/>
                <w:sz w:val="28"/>
                <w:szCs w:val="28"/>
                <w:lang w:val="en-US" w:eastAsia="zh-CN"/>
              </w:rPr>
              <w:t>分屏功能</w:t>
            </w:r>
          </w:p>
        </w:tc>
        <w:tc>
          <w:tcPr>
            <w:tcW w:w="5717" w:type="dxa"/>
            <w:tcBorders>
              <w:top w:val="nil"/>
              <w:left w:val="nil"/>
              <w:bottom w:val="single" w:color="auto" w:sz="4" w:space="0"/>
              <w:right w:val="single" w:color="auto" w:sz="4" w:space="0"/>
            </w:tcBorders>
            <w:shd w:val="clear" w:color="auto" w:fill="auto"/>
            <w:noWrap w:val="0"/>
            <w:vAlign w:val="center"/>
          </w:tcPr>
          <w:p w14:paraId="2D07988F">
            <w:pPr>
              <w:widowControl/>
              <w:spacing w:line="560" w:lineRule="exact"/>
              <w:jc w:val="left"/>
              <w:rPr>
                <w:rFonts w:hint="eastAsia" w:ascii="彩虹粗仿宋" w:hAnsi="彩虹粗仿宋" w:eastAsia="彩虹粗仿宋" w:cs="彩虹粗仿宋"/>
                <w:color w:val="000000"/>
                <w:kern w:val="0"/>
                <w:sz w:val="28"/>
                <w:szCs w:val="28"/>
                <w:lang w:val="en-US" w:eastAsia="zh-CN" w:bidi="ar-SA"/>
              </w:rPr>
            </w:pPr>
            <w:r>
              <w:rPr>
                <w:rFonts w:hint="eastAsia" w:ascii="彩虹粗仿宋" w:hAnsi="彩虹粗仿宋" w:eastAsia="彩虹粗仿宋" w:cs="彩虹粗仿宋"/>
                <w:color w:val="000000"/>
                <w:kern w:val="0"/>
                <w:sz w:val="28"/>
                <w:szCs w:val="28"/>
                <w:lang w:val="en-US" w:eastAsia="zh-CN"/>
              </w:rPr>
              <w:t>具备</w:t>
            </w:r>
            <w:r>
              <w:rPr>
                <w:rFonts w:hint="eastAsia" w:ascii="彩虹粗仿宋" w:hAnsi="彩虹粗仿宋" w:eastAsia="彩虹粗仿宋" w:cs="彩虹粗仿宋"/>
                <w:color w:val="000000"/>
                <w:kern w:val="0"/>
                <w:sz w:val="28"/>
                <w:szCs w:val="28"/>
              </w:rPr>
              <w:t>PBP分屏功能，支持同屏无切换</w:t>
            </w:r>
            <w:r>
              <w:rPr>
                <w:rFonts w:hint="eastAsia" w:ascii="彩虹粗仿宋" w:hAnsi="彩虹粗仿宋" w:eastAsia="彩虹粗仿宋" w:cs="彩虹粗仿宋"/>
                <w:color w:val="000000"/>
                <w:kern w:val="0"/>
                <w:sz w:val="28"/>
                <w:szCs w:val="28"/>
                <w:lang w:val="en-US" w:eastAsia="zh-CN"/>
              </w:rPr>
              <w:t>实现多系统操作等任务场景</w:t>
            </w:r>
            <w:r>
              <w:rPr>
                <w:rFonts w:hint="eastAsia" w:ascii="彩虹粗仿宋" w:hAnsi="彩虹粗仿宋" w:eastAsia="彩虹粗仿宋" w:cs="彩虹粗仿宋"/>
                <w:color w:val="000000"/>
                <w:kern w:val="0"/>
                <w:sz w:val="28"/>
                <w:szCs w:val="28"/>
              </w:rPr>
              <w:t>；</w:t>
            </w:r>
          </w:p>
        </w:tc>
      </w:tr>
    </w:tbl>
    <w:p w14:paraId="17F02052">
      <w:pPr>
        <w:rPr>
          <w:rFonts w:hint="eastAsia" w:ascii="彩虹楷体" w:hAnsi="彩虹楷体" w:eastAsia="彩虹楷体" w:cs="彩虹楷体"/>
          <w:b/>
          <w:bCs/>
          <w:sz w:val="32"/>
          <w:szCs w:val="32"/>
        </w:rPr>
      </w:pPr>
    </w:p>
    <w:p w14:paraId="623E45D2">
      <w:pPr>
        <w:ind w:firstLine="640" w:firstLineChars="200"/>
        <w:rPr>
          <w:rFonts w:hint="eastAsia" w:ascii="彩虹楷体" w:hAnsi="彩虹楷体" w:eastAsia="彩虹楷体" w:cs="彩虹楷体"/>
          <w:b/>
          <w:bCs/>
          <w:sz w:val="32"/>
          <w:szCs w:val="32"/>
        </w:rPr>
      </w:pPr>
      <w:r>
        <w:rPr>
          <w:rFonts w:hint="eastAsia" w:ascii="彩虹粗仿宋" w:hAnsi="彩虹粗仿宋" w:eastAsia="彩虹粗仿宋" w:cs="彩虹粗仿宋"/>
          <w:b w:val="0"/>
          <w:bCs w:val="0"/>
          <w:sz w:val="32"/>
          <w:szCs w:val="32"/>
          <w:lang w:val="en-US" w:eastAsia="zh-CN"/>
        </w:rPr>
        <w:t>保修</w:t>
      </w:r>
      <w:r>
        <w:rPr>
          <w:rFonts w:hint="eastAsia" w:ascii="彩虹粗仿宋" w:hAnsi="彩虹粗仿宋" w:eastAsia="彩虹粗仿宋" w:cs="彩虹粗仿宋"/>
          <w:b w:val="0"/>
          <w:bCs w:val="0"/>
          <w:sz w:val="32"/>
          <w:szCs w:val="32"/>
        </w:rPr>
        <w:t>期限暂定</w:t>
      </w:r>
      <w:r>
        <w:rPr>
          <w:rFonts w:hint="eastAsia" w:ascii="彩虹粗仿宋" w:hAnsi="彩虹粗仿宋" w:eastAsia="彩虹粗仿宋" w:cs="彩虹粗仿宋"/>
          <w:b w:val="0"/>
          <w:bCs w:val="0"/>
          <w:sz w:val="32"/>
          <w:szCs w:val="32"/>
          <w:lang w:val="en-US" w:eastAsia="zh-CN"/>
        </w:rPr>
        <w:t>2</w:t>
      </w:r>
      <w:r>
        <w:rPr>
          <w:rFonts w:hint="eastAsia" w:ascii="彩虹粗仿宋" w:hAnsi="彩虹粗仿宋" w:eastAsia="彩虹粗仿宋" w:cs="彩虹粗仿宋"/>
          <w:b w:val="0"/>
          <w:bCs w:val="0"/>
          <w:sz w:val="32"/>
          <w:szCs w:val="32"/>
        </w:rPr>
        <w:t>年，以签订合同之日起计算。</w:t>
      </w:r>
    </w:p>
    <w:p w14:paraId="4914077E">
      <w:pPr>
        <w:numPr>
          <w:ilvl w:val="0"/>
          <w:numId w:val="0"/>
        </w:numPr>
        <w:ind w:firstLine="640" w:firstLineChars="200"/>
        <w:rPr>
          <w:rFonts w:hint="eastAsia" w:ascii="彩虹黑体" w:hAnsi="彩虹黑体" w:eastAsia="彩虹黑体" w:cs="彩虹黑体"/>
          <w:sz w:val="32"/>
          <w:szCs w:val="32"/>
        </w:rPr>
      </w:pPr>
      <w:r>
        <w:rPr>
          <w:rFonts w:hint="eastAsia" w:ascii="彩虹黑体" w:hAnsi="彩虹黑体" w:eastAsia="彩虹黑体" w:cs="彩虹黑体"/>
          <w:sz w:val="32"/>
          <w:szCs w:val="32"/>
          <w:lang w:val="en-US" w:eastAsia="zh-CN"/>
        </w:rPr>
        <w:t>三、服务质量要求</w:t>
      </w:r>
    </w:p>
    <w:p w14:paraId="4D11F948">
      <w:pPr>
        <w:numPr>
          <w:ilvl w:val="0"/>
          <w:numId w:val="1"/>
        </w:numPr>
        <w:ind w:firstLine="643" w:firstLineChars="200"/>
        <w:rPr>
          <w:rFonts w:hint="eastAsia" w:ascii="彩虹楷体" w:hAnsi="彩虹楷体" w:eastAsia="彩虹楷体" w:cs="彩虹楷体"/>
          <w:b/>
          <w:bCs/>
          <w:sz w:val="32"/>
          <w:szCs w:val="32"/>
        </w:rPr>
      </w:pPr>
      <w:r>
        <w:rPr>
          <w:rFonts w:hint="eastAsia" w:ascii="彩虹楷体" w:hAnsi="彩虹楷体" w:eastAsia="彩虹楷体" w:cs="彩虹楷体"/>
          <w:b/>
          <w:bCs/>
          <w:sz w:val="32"/>
          <w:szCs w:val="32"/>
          <w:lang w:val="en-US" w:eastAsia="zh-CN"/>
        </w:rPr>
        <w:t>项目</w:t>
      </w:r>
      <w:r>
        <w:rPr>
          <w:rFonts w:hint="eastAsia" w:ascii="彩虹楷体" w:hAnsi="彩虹楷体" w:eastAsia="彩虹楷体" w:cs="彩虹楷体"/>
          <w:b/>
          <w:bCs/>
          <w:sz w:val="32"/>
          <w:szCs w:val="32"/>
        </w:rPr>
        <w:t>管理要求</w:t>
      </w:r>
    </w:p>
    <w:p w14:paraId="02019925">
      <w:pPr>
        <w:spacing w:line="560" w:lineRule="exact"/>
        <w:ind w:firstLine="640" w:firstLineChars="200"/>
        <w:rPr>
          <w:rFonts w:hint="eastAsia" w:ascii="彩虹粗仿宋" w:hAnsi="宋体" w:eastAsia="彩虹粗仿宋" w:cs="宋体"/>
          <w:bCs/>
          <w:sz w:val="32"/>
          <w:szCs w:val="32"/>
        </w:rPr>
      </w:pPr>
      <w:r>
        <w:rPr>
          <w:rFonts w:hint="eastAsia" w:ascii="彩虹粗仿宋" w:hAnsi="宋体" w:eastAsia="彩虹粗仿宋" w:cs="宋体"/>
          <w:bCs/>
          <w:sz w:val="32"/>
          <w:szCs w:val="32"/>
          <w:lang w:val="en-US" w:eastAsia="zh-CN"/>
        </w:rPr>
        <w:t>1.</w:t>
      </w:r>
      <w:r>
        <w:rPr>
          <w:rFonts w:hint="eastAsia" w:ascii="彩虹粗仿宋" w:hAnsi="宋体" w:eastAsia="彩虹粗仿宋" w:cs="宋体"/>
          <w:bCs/>
          <w:sz w:val="32"/>
          <w:szCs w:val="32"/>
          <w:lang w:eastAsia="zh-CN"/>
        </w:rPr>
        <w:t>服务商</w:t>
      </w:r>
      <w:r>
        <w:rPr>
          <w:rFonts w:hint="eastAsia" w:ascii="彩虹粗仿宋" w:hAnsi="宋体" w:eastAsia="彩虹粗仿宋" w:cs="宋体"/>
          <w:bCs/>
          <w:sz w:val="32"/>
          <w:szCs w:val="32"/>
        </w:rPr>
        <w:t>承诺按照协议约定的服务内容向我行提供合格的服务，接受我行对其工作的指导和监督。</w:t>
      </w:r>
    </w:p>
    <w:p w14:paraId="2DA0D451">
      <w:pPr>
        <w:spacing w:line="560" w:lineRule="exact"/>
        <w:ind w:firstLine="640" w:firstLineChars="200"/>
        <w:rPr>
          <w:rFonts w:hint="eastAsia" w:ascii="彩虹粗仿宋" w:hAnsi="宋体" w:eastAsia="彩虹粗仿宋" w:cs="宋体"/>
          <w:bCs/>
          <w:sz w:val="32"/>
          <w:szCs w:val="32"/>
        </w:rPr>
      </w:pPr>
      <w:r>
        <w:rPr>
          <w:rFonts w:hint="eastAsia" w:ascii="彩虹粗仿宋" w:hAnsi="宋体" w:eastAsia="彩虹粗仿宋" w:cs="宋体"/>
          <w:bCs/>
          <w:sz w:val="32"/>
          <w:szCs w:val="32"/>
          <w:lang w:val="en-US" w:eastAsia="zh-CN"/>
        </w:rPr>
        <w:t>2.</w:t>
      </w:r>
      <w:r>
        <w:rPr>
          <w:rFonts w:hint="eastAsia" w:ascii="彩虹粗仿宋" w:hAnsi="宋体" w:eastAsia="彩虹粗仿宋" w:cs="宋体"/>
          <w:bCs/>
          <w:sz w:val="32"/>
          <w:szCs w:val="32"/>
        </w:rPr>
        <w:t>服务商须制定明确、规范的服务流程，为我行提供优质、高效、规范、专业的服务，保质保量完成相关业务。</w:t>
      </w:r>
    </w:p>
    <w:p w14:paraId="002CD3F1">
      <w:pPr>
        <w:spacing w:line="560" w:lineRule="exact"/>
        <w:ind w:firstLine="640" w:firstLineChars="200"/>
        <w:rPr>
          <w:rFonts w:ascii="彩虹粗仿宋" w:hAnsi="宋体" w:eastAsia="彩虹粗仿宋" w:cs="宋体"/>
          <w:bCs/>
          <w:sz w:val="32"/>
          <w:szCs w:val="32"/>
        </w:rPr>
      </w:pPr>
      <w:r>
        <w:rPr>
          <w:rFonts w:hint="eastAsia" w:ascii="彩虹粗仿宋" w:hAnsi="宋体" w:eastAsia="彩虹粗仿宋" w:cs="宋体"/>
          <w:bCs/>
          <w:sz w:val="32"/>
          <w:szCs w:val="32"/>
          <w:lang w:val="en-US" w:eastAsia="zh-CN"/>
        </w:rPr>
        <w:t>3.</w:t>
      </w:r>
      <w:r>
        <w:rPr>
          <w:rFonts w:hint="eastAsia" w:ascii="彩虹粗仿宋" w:hAnsi="宋体" w:eastAsia="彩虹粗仿宋" w:cs="宋体"/>
          <w:bCs/>
          <w:sz w:val="32"/>
          <w:szCs w:val="32"/>
        </w:rPr>
        <w:t>服务商须制定与项目内容</w:t>
      </w:r>
      <w:bookmarkStart w:id="0" w:name="_GoBack"/>
      <w:bookmarkEnd w:id="0"/>
      <w:r>
        <w:rPr>
          <w:rFonts w:hint="eastAsia" w:ascii="彩虹粗仿宋" w:hAnsi="宋体" w:eastAsia="彩虹粗仿宋" w:cs="宋体"/>
          <w:bCs/>
          <w:sz w:val="32"/>
          <w:szCs w:val="32"/>
        </w:rPr>
        <w:t>相关的内控制度、操作规程等办法，并报我行备案。</w:t>
      </w:r>
    </w:p>
    <w:p w14:paraId="31C92BD1">
      <w:pPr>
        <w:spacing w:line="560" w:lineRule="exact"/>
        <w:ind w:firstLine="640" w:firstLineChars="200"/>
        <w:rPr>
          <w:rFonts w:ascii="彩虹粗仿宋" w:hAnsi="宋体" w:eastAsia="彩虹粗仿宋" w:cs="宋体"/>
          <w:bCs/>
          <w:sz w:val="32"/>
          <w:szCs w:val="32"/>
        </w:rPr>
      </w:pPr>
      <w:r>
        <w:rPr>
          <w:rFonts w:hint="eastAsia" w:ascii="彩虹粗仿宋" w:hAnsi="宋体" w:eastAsia="彩虹粗仿宋" w:cs="宋体"/>
          <w:bCs/>
          <w:sz w:val="32"/>
          <w:szCs w:val="32"/>
          <w:lang w:val="en-US" w:eastAsia="zh-CN"/>
        </w:rPr>
        <w:t>4.</w:t>
      </w:r>
      <w:r>
        <w:rPr>
          <w:rFonts w:hint="eastAsia" w:ascii="彩虹粗仿宋" w:hAnsi="宋体" w:eastAsia="彩虹粗仿宋" w:cs="宋体"/>
          <w:bCs/>
          <w:sz w:val="32"/>
          <w:szCs w:val="32"/>
        </w:rPr>
        <w:t>未经我行书面同意，服务商不得将其在协议约定项下全部或部分权利义务转让或分包给任意第三方。</w:t>
      </w:r>
    </w:p>
    <w:p w14:paraId="4DFA7A99">
      <w:pPr>
        <w:spacing w:line="560" w:lineRule="exact"/>
        <w:ind w:firstLine="640" w:firstLineChars="200"/>
        <w:rPr>
          <w:rFonts w:ascii="彩虹粗仿宋" w:hAnsi="宋体" w:eastAsia="彩虹粗仿宋" w:cs="宋体"/>
          <w:bCs/>
          <w:sz w:val="32"/>
          <w:szCs w:val="32"/>
        </w:rPr>
      </w:pPr>
      <w:r>
        <w:rPr>
          <w:rFonts w:hint="eastAsia" w:ascii="彩虹粗仿宋" w:hAnsi="宋体" w:eastAsia="彩虹粗仿宋" w:cs="宋体"/>
          <w:bCs/>
          <w:sz w:val="32"/>
          <w:szCs w:val="32"/>
          <w:lang w:val="en-US" w:eastAsia="zh-CN"/>
        </w:rPr>
        <w:t>5.</w:t>
      </w:r>
      <w:r>
        <w:rPr>
          <w:rFonts w:hint="eastAsia" w:ascii="彩虹粗仿宋" w:hAnsi="宋体" w:eastAsia="彩虹粗仿宋" w:cs="宋体"/>
          <w:bCs/>
          <w:sz w:val="32"/>
          <w:szCs w:val="32"/>
        </w:rPr>
        <w:t>服务商应充分保障我行客户信息安全，当客户信息不安全或客户权利受到重大不利影响时，我行有权随时终止合同；合同执行完毕或终止执行时，服务商应交还或销毁保存的所有我行资料。</w:t>
      </w:r>
    </w:p>
    <w:p w14:paraId="52CD2F13">
      <w:pPr>
        <w:spacing w:line="560" w:lineRule="exact"/>
        <w:ind w:firstLine="640" w:firstLineChars="200"/>
        <w:rPr>
          <w:rFonts w:hint="eastAsia" w:ascii="彩虹粗仿宋" w:hAnsi="彩虹粗仿宋" w:eastAsia="彩虹粗仿宋" w:cs="彩虹粗仿宋"/>
          <w:b w:val="0"/>
          <w:bCs w:val="0"/>
          <w:sz w:val="32"/>
          <w:szCs w:val="32"/>
        </w:rPr>
      </w:pPr>
      <w:r>
        <w:rPr>
          <w:rFonts w:hint="eastAsia" w:ascii="彩虹粗仿宋" w:hAnsi="宋体" w:eastAsia="彩虹粗仿宋" w:cs="宋体"/>
          <w:bCs/>
          <w:sz w:val="32"/>
          <w:szCs w:val="32"/>
          <w:lang w:val="en-US" w:eastAsia="zh-CN"/>
        </w:rPr>
        <w:t>6.</w:t>
      </w:r>
      <w:r>
        <w:rPr>
          <w:rFonts w:hint="eastAsia" w:ascii="彩虹粗仿宋" w:hAnsi="宋体" w:eastAsia="彩虹粗仿宋" w:cs="宋体"/>
          <w:bCs/>
          <w:sz w:val="32"/>
          <w:szCs w:val="32"/>
        </w:rPr>
        <w:t>服务商应不断强化项目质量管理，制定相应的项目应急预案、管理要求等并报我行备案。</w:t>
      </w:r>
    </w:p>
    <w:p w14:paraId="3BD70F47">
      <w:pPr>
        <w:numPr>
          <w:ilvl w:val="0"/>
          <w:numId w:val="1"/>
        </w:numPr>
        <w:ind w:firstLine="643" w:firstLineChars="200"/>
        <w:rPr>
          <w:rFonts w:hint="eastAsia" w:ascii="彩虹楷体" w:hAnsi="彩虹楷体" w:eastAsia="彩虹楷体" w:cs="彩虹楷体"/>
          <w:b/>
          <w:bCs/>
          <w:sz w:val="32"/>
          <w:szCs w:val="32"/>
        </w:rPr>
      </w:pPr>
      <w:r>
        <w:rPr>
          <w:rFonts w:hint="eastAsia" w:ascii="彩虹楷体" w:hAnsi="彩虹楷体" w:eastAsia="彩虹楷体" w:cs="彩虹楷体"/>
          <w:b/>
          <w:bCs/>
          <w:sz w:val="32"/>
          <w:szCs w:val="32"/>
        </w:rPr>
        <w:t>服务管理质量要求</w:t>
      </w:r>
    </w:p>
    <w:p w14:paraId="6519429C">
      <w:pPr>
        <w:ind w:firstLine="640" w:firstLineChars="200"/>
        <w:rPr>
          <w:rFonts w:hint="eastAsia" w:ascii="彩虹楷体" w:hAnsi="彩虹楷体" w:eastAsia="彩虹楷体" w:cs="彩虹楷体"/>
          <w:b/>
          <w:bCs/>
          <w:sz w:val="32"/>
          <w:szCs w:val="32"/>
        </w:rPr>
      </w:pPr>
      <w:r>
        <w:rPr>
          <w:rFonts w:hint="eastAsia" w:ascii="彩虹粗仿宋" w:hAnsi="宋体" w:eastAsia="彩虹粗仿宋" w:cs="宋体"/>
          <w:bCs/>
          <w:sz w:val="32"/>
          <w:szCs w:val="32"/>
        </w:rPr>
        <w:t>行方每年至少对服务商履约情况进行一次核查，并将考核结果作为费用结算以及重新确定服务价格的重要依据。</w:t>
      </w:r>
    </w:p>
    <w:p w14:paraId="08420DBF">
      <w:pPr>
        <w:numPr>
          <w:ilvl w:val="0"/>
          <w:numId w:val="1"/>
        </w:numPr>
        <w:ind w:firstLine="643" w:firstLineChars="200"/>
        <w:rPr>
          <w:rFonts w:hint="eastAsia" w:ascii="彩虹楷体" w:hAnsi="彩虹楷体" w:eastAsia="彩虹楷体" w:cs="彩虹楷体"/>
          <w:b/>
          <w:bCs/>
          <w:sz w:val="32"/>
          <w:szCs w:val="32"/>
        </w:rPr>
      </w:pPr>
      <w:r>
        <w:rPr>
          <w:rFonts w:hint="eastAsia" w:ascii="彩虹楷体" w:hAnsi="彩虹楷体" w:eastAsia="彩虹楷体" w:cs="彩虹楷体"/>
          <w:b/>
          <w:bCs/>
          <w:sz w:val="32"/>
          <w:szCs w:val="32"/>
        </w:rPr>
        <w:t>交接措施</w:t>
      </w:r>
    </w:p>
    <w:p w14:paraId="79C561C5">
      <w:pPr>
        <w:numPr>
          <w:ilvl w:val="0"/>
          <w:numId w:val="0"/>
        </w:numPr>
        <w:ind w:firstLine="640" w:firstLineChars="200"/>
        <w:rPr>
          <w:rFonts w:hint="eastAsia" w:ascii="彩虹粗仿宋" w:hAnsi="彩虹粗仿宋" w:eastAsia="彩虹粗仿宋" w:cs="彩虹粗仿宋"/>
          <w:b w:val="0"/>
          <w:bCs w:val="0"/>
          <w:sz w:val="32"/>
          <w:szCs w:val="32"/>
        </w:rPr>
      </w:pPr>
      <w:r>
        <w:rPr>
          <w:rFonts w:hint="eastAsia" w:ascii="彩虹粗仿宋" w:hAnsi="彩虹粗仿宋" w:eastAsia="彩虹粗仿宋" w:cs="彩虹粗仿宋"/>
          <w:b w:val="0"/>
          <w:bCs w:val="0"/>
          <w:sz w:val="32"/>
          <w:szCs w:val="32"/>
        </w:rPr>
        <w:t>服务商在合同有效期满后未中标或因违反合作合同发生终止合作的情况时，应制定好完善的交接流程，配合我行及中标公司做好合同终止、业务交接等各项事宜。因交接不当对我行及我行客户的权益产生损害，我行将保留进一步追究其法律责任的权利。</w:t>
      </w:r>
    </w:p>
    <w:p w14:paraId="5D10CF33">
      <w:pPr>
        <w:numPr>
          <w:ilvl w:val="0"/>
          <w:numId w:val="1"/>
        </w:numPr>
        <w:ind w:firstLine="643" w:firstLineChars="200"/>
        <w:rPr>
          <w:rFonts w:hint="eastAsia" w:ascii="彩虹楷体" w:hAnsi="彩虹楷体" w:eastAsia="彩虹楷体" w:cs="彩虹楷体"/>
          <w:b/>
          <w:bCs/>
          <w:sz w:val="32"/>
          <w:szCs w:val="32"/>
        </w:rPr>
      </w:pPr>
      <w:r>
        <w:rPr>
          <w:rFonts w:hint="eastAsia" w:ascii="彩虹楷体" w:hAnsi="彩虹楷体" w:eastAsia="彩虹楷体" w:cs="彩虹楷体"/>
          <w:b/>
          <w:bCs/>
          <w:sz w:val="32"/>
          <w:szCs w:val="32"/>
          <w:lang w:val="en-US" w:eastAsia="zh-CN"/>
        </w:rPr>
        <w:t>应急管理</w:t>
      </w:r>
    </w:p>
    <w:p w14:paraId="3CBAF9CA">
      <w:pPr>
        <w:ind w:firstLine="640" w:firstLineChars="200"/>
        <w:rPr>
          <w:rFonts w:hint="eastAsia" w:ascii="彩虹楷体" w:hAnsi="彩虹楷体" w:eastAsia="彩虹楷体" w:cs="彩虹楷体"/>
          <w:b/>
          <w:bCs/>
          <w:sz w:val="32"/>
          <w:szCs w:val="32"/>
        </w:rPr>
      </w:pPr>
      <w:r>
        <w:rPr>
          <w:rFonts w:hint="eastAsia" w:ascii="彩虹粗仿宋" w:hAnsi="彩虹粗仿宋" w:eastAsia="彩虹粗仿宋" w:cs="彩虹粗仿宋"/>
          <w:sz w:val="32"/>
          <w:szCs w:val="32"/>
          <w:lang w:eastAsia="zh-CN"/>
        </w:rPr>
        <w:t>服务商</w:t>
      </w:r>
      <w:r>
        <w:rPr>
          <w:rFonts w:hint="eastAsia" w:ascii="彩虹粗仿宋" w:hAnsi="彩虹粗仿宋" w:eastAsia="彩虹粗仿宋" w:cs="彩虹粗仿宋"/>
          <w:sz w:val="32"/>
          <w:szCs w:val="32"/>
        </w:rPr>
        <w:t>需制定风险管理控制措施和应对突发事件的应急措施，并根据业务需要及我行要求，定期对</w:t>
      </w:r>
      <w:r>
        <w:rPr>
          <w:rFonts w:hint="eastAsia" w:ascii="彩虹粗仿宋" w:hAnsi="彩虹粗仿宋" w:eastAsia="彩虹粗仿宋" w:cs="彩虹粗仿宋"/>
          <w:sz w:val="32"/>
          <w:szCs w:val="32"/>
          <w:lang w:val="en-US" w:eastAsia="zh-CN"/>
        </w:rPr>
        <w:t>应急人员</w:t>
      </w:r>
      <w:r>
        <w:rPr>
          <w:rFonts w:hint="eastAsia" w:ascii="彩虹粗仿宋" w:hAnsi="彩虹粗仿宋" w:eastAsia="彩虹粗仿宋" w:cs="彩虹粗仿宋"/>
          <w:sz w:val="32"/>
          <w:szCs w:val="32"/>
        </w:rPr>
        <w:t>进行有针对性的后续培训，并负责对培训效果进行考评。</w:t>
      </w:r>
    </w:p>
    <w:p w14:paraId="0CE5F82E">
      <w:pPr>
        <w:numPr>
          <w:ilvl w:val="0"/>
          <w:numId w:val="1"/>
        </w:numPr>
        <w:ind w:firstLine="643" w:firstLineChars="200"/>
        <w:rPr>
          <w:rFonts w:hint="eastAsia" w:ascii="彩虹楷体" w:hAnsi="彩虹楷体" w:eastAsia="彩虹楷体" w:cs="彩虹楷体"/>
          <w:b/>
          <w:bCs/>
          <w:sz w:val="32"/>
          <w:szCs w:val="32"/>
        </w:rPr>
      </w:pPr>
      <w:r>
        <w:rPr>
          <w:rFonts w:hint="eastAsia" w:ascii="彩虹楷体" w:hAnsi="彩虹楷体" w:eastAsia="彩虹楷体" w:cs="彩虹楷体"/>
          <w:b/>
          <w:bCs/>
          <w:sz w:val="32"/>
          <w:szCs w:val="32"/>
          <w:lang w:val="en-US" w:eastAsia="zh-CN"/>
        </w:rPr>
        <w:t>保密要求</w:t>
      </w:r>
    </w:p>
    <w:p w14:paraId="1C618B64">
      <w:pPr>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1.</w:t>
      </w:r>
      <w:r>
        <w:rPr>
          <w:rFonts w:hint="eastAsia" w:ascii="彩虹粗仿宋" w:hAnsi="彩虹粗仿宋" w:eastAsia="彩虹粗仿宋" w:cs="彩虹粗仿宋"/>
          <w:sz w:val="32"/>
          <w:szCs w:val="32"/>
          <w:lang w:eastAsia="zh-CN"/>
        </w:rPr>
        <w:t>服务商</w:t>
      </w:r>
      <w:r>
        <w:rPr>
          <w:rFonts w:hint="eastAsia" w:ascii="彩虹粗仿宋" w:hAnsi="彩虹粗仿宋" w:eastAsia="彩虹粗仿宋" w:cs="彩虹粗仿宋"/>
          <w:sz w:val="32"/>
          <w:szCs w:val="32"/>
        </w:rPr>
        <w:t>应当在保密期内，对保密信息保密，未经我行书面同意，不得将其用于为我行服务以外的目的，并不得将其泄漏给无关雇员以及任何第三方，而且合作公司应防止我行保密信息被销毁、丢失或改变。</w:t>
      </w:r>
    </w:p>
    <w:p w14:paraId="71470C75">
      <w:pPr>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3.</w:t>
      </w:r>
      <w:r>
        <w:rPr>
          <w:rFonts w:hint="eastAsia" w:ascii="彩虹粗仿宋" w:hAnsi="彩虹粗仿宋" w:eastAsia="彩虹粗仿宋" w:cs="彩虹粗仿宋"/>
          <w:sz w:val="32"/>
          <w:szCs w:val="32"/>
          <w:lang w:eastAsia="zh-CN"/>
        </w:rPr>
        <w:t>服务商</w:t>
      </w:r>
      <w:r>
        <w:rPr>
          <w:rFonts w:hint="eastAsia" w:ascii="彩虹粗仿宋" w:hAnsi="彩虹粗仿宋" w:eastAsia="彩虹粗仿宋" w:cs="彩虹粗仿宋"/>
          <w:sz w:val="32"/>
          <w:szCs w:val="32"/>
        </w:rPr>
        <w:t>只能掌握了解工作需要的相关信息，不得将我行现有信息资料</w:t>
      </w:r>
      <w:r>
        <w:rPr>
          <w:rFonts w:hint="eastAsia" w:ascii="彩虹粗仿宋" w:hAnsi="彩虹粗仿宋" w:eastAsia="彩虹粗仿宋" w:cs="彩虹粗仿宋"/>
          <w:sz w:val="32"/>
          <w:szCs w:val="32"/>
          <w:lang w:eastAsia="zh-CN"/>
        </w:rPr>
        <w:t>、客户相关信息</w:t>
      </w:r>
      <w:r>
        <w:rPr>
          <w:rFonts w:hint="eastAsia" w:ascii="彩虹粗仿宋" w:hAnsi="彩虹粗仿宋" w:eastAsia="彩虹粗仿宋" w:cs="彩虹粗仿宋"/>
          <w:sz w:val="32"/>
          <w:szCs w:val="32"/>
        </w:rPr>
        <w:t>以任何方式透露给其他任何机构或个人。</w:t>
      </w:r>
    </w:p>
    <w:p w14:paraId="623B1816">
      <w:pPr>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4.</w:t>
      </w:r>
      <w:r>
        <w:rPr>
          <w:rFonts w:hint="eastAsia" w:ascii="彩虹粗仿宋" w:hAnsi="彩虹粗仿宋" w:eastAsia="彩虹粗仿宋" w:cs="彩虹粗仿宋"/>
          <w:sz w:val="32"/>
          <w:szCs w:val="32"/>
          <w:lang w:eastAsia="zh-CN"/>
        </w:rPr>
        <w:t>服务商</w:t>
      </w:r>
      <w:r>
        <w:rPr>
          <w:rFonts w:hint="eastAsia" w:ascii="彩虹粗仿宋" w:hAnsi="彩虹粗仿宋" w:eastAsia="彩虹粗仿宋" w:cs="彩虹粗仿宋"/>
          <w:sz w:val="32"/>
          <w:szCs w:val="32"/>
        </w:rPr>
        <w:t>不得以损害我行利益的方式使用</w:t>
      </w:r>
      <w:r>
        <w:rPr>
          <w:rFonts w:hint="eastAsia" w:ascii="彩虹粗仿宋" w:hAnsi="彩虹粗仿宋" w:eastAsia="彩虹粗仿宋" w:cs="彩虹粗仿宋"/>
          <w:sz w:val="32"/>
          <w:szCs w:val="32"/>
          <w:lang w:eastAsia="zh-CN"/>
        </w:rPr>
        <w:t>、出售、转让</w:t>
      </w:r>
      <w:r>
        <w:rPr>
          <w:rFonts w:hint="eastAsia" w:ascii="彩虹粗仿宋" w:hAnsi="彩虹粗仿宋" w:eastAsia="彩虹粗仿宋" w:cs="彩虹粗仿宋"/>
          <w:sz w:val="32"/>
          <w:szCs w:val="32"/>
        </w:rPr>
        <w:t>我行保密信息。</w:t>
      </w:r>
    </w:p>
    <w:p w14:paraId="2083D840">
      <w:pPr>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5.</w:t>
      </w:r>
      <w:r>
        <w:rPr>
          <w:rFonts w:hint="eastAsia" w:ascii="彩虹粗仿宋" w:hAnsi="彩虹粗仿宋" w:eastAsia="彩虹粗仿宋" w:cs="彩虹粗仿宋"/>
          <w:sz w:val="32"/>
          <w:szCs w:val="32"/>
          <w:lang w:eastAsia="zh-CN"/>
        </w:rPr>
        <w:t>服务商</w:t>
      </w:r>
      <w:r>
        <w:rPr>
          <w:rFonts w:hint="eastAsia" w:ascii="彩虹粗仿宋" w:hAnsi="彩虹粗仿宋" w:eastAsia="彩虹粗仿宋" w:cs="彩虹粗仿宋"/>
          <w:sz w:val="32"/>
          <w:szCs w:val="32"/>
        </w:rPr>
        <w:t>服务人员不在公共场所或私人通信中谈及我行保密信息。</w:t>
      </w:r>
    </w:p>
    <w:p w14:paraId="44B43F18">
      <w:pPr>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6.</w:t>
      </w:r>
      <w:r>
        <w:rPr>
          <w:rFonts w:hint="eastAsia" w:ascii="彩虹粗仿宋" w:hAnsi="彩虹粗仿宋" w:eastAsia="彩虹粗仿宋" w:cs="彩虹粗仿宋"/>
          <w:sz w:val="32"/>
          <w:szCs w:val="32"/>
          <w:lang w:eastAsia="zh-CN"/>
        </w:rPr>
        <w:t>服务商</w:t>
      </w:r>
      <w:r>
        <w:rPr>
          <w:rFonts w:hint="eastAsia" w:ascii="彩虹粗仿宋" w:hAnsi="彩虹粗仿宋" w:eastAsia="彩虹粗仿宋" w:cs="彩虹粗仿宋"/>
          <w:sz w:val="32"/>
          <w:szCs w:val="32"/>
        </w:rPr>
        <w:t>服务人员禁止利用合作之便获取我行与合作无关的保密信息。</w:t>
      </w:r>
    </w:p>
    <w:p w14:paraId="793B8EFF">
      <w:pPr>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7.</w:t>
      </w:r>
      <w:r>
        <w:rPr>
          <w:rFonts w:hint="eastAsia" w:ascii="彩虹粗仿宋" w:hAnsi="彩虹粗仿宋" w:eastAsia="彩虹粗仿宋" w:cs="彩虹粗仿宋"/>
          <w:sz w:val="32"/>
          <w:szCs w:val="32"/>
          <w:lang w:eastAsia="zh-CN"/>
        </w:rPr>
        <w:t>服务商</w:t>
      </w:r>
      <w:r>
        <w:rPr>
          <w:rFonts w:hint="eastAsia" w:ascii="彩虹粗仿宋" w:hAnsi="彩虹粗仿宋" w:eastAsia="彩虹粗仿宋" w:cs="彩虹粗仿宋"/>
          <w:sz w:val="32"/>
          <w:szCs w:val="32"/>
        </w:rPr>
        <w:t>服务人员禁止利用我行保密信息从事损害我行利益和声誉的活动。</w:t>
      </w:r>
    </w:p>
    <w:p w14:paraId="7161FD2B">
      <w:pPr>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8.</w:t>
      </w:r>
      <w:r>
        <w:rPr>
          <w:rFonts w:hint="eastAsia" w:ascii="彩虹粗仿宋" w:hAnsi="彩虹粗仿宋" w:eastAsia="彩虹粗仿宋" w:cs="彩虹粗仿宋"/>
          <w:sz w:val="32"/>
          <w:szCs w:val="32"/>
          <w:lang w:eastAsia="zh-CN"/>
        </w:rPr>
        <w:t>服务商</w:t>
      </w:r>
      <w:r>
        <w:rPr>
          <w:rFonts w:hint="eastAsia" w:ascii="彩虹粗仿宋" w:hAnsi="彩虹粗仿宋" w:eastAsia="彩虹粗仿宋" w:cs="彩虹粗仿宋"/>
          <w:sz w:val="32"/>
          <w:szCs w:val="32"/>
        </w:rPr>
        <w:t>服务人员如在为我行服务期间离职，禁止带走任何我行保密信息，在保密协议规定的保护期内禁止泄漏任何我行保密信息。</w:t>
      </w:r>
    </w:p>
    <w:p w14:paraId="0B8B72AA">
      <w:pPr>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9.</w:t>
      </w:r>
      <w:r>
        <w:rPr>
          <w:rFonts w:hint="eastAsia" w:ascii="彩虹粗仿宋" w:hAnsi="彩虹粗仿宋" w:eastAsia="彩虹粗仿宋" w:cs="彩虹粗仿宋"/>
          <w:sz w:val="32"/>
          <w:szCs w:val="32"/>
          <w:lang w:eastAsia="zh-CN"/>
        </w:rPr>
        <w:t>服务商</w:t>
      </w:r>
      <w:r>
        <w:rPr>
          <w:rFonts w:hint="eastAsia" w:ascii="彩虹粗仿宋" w:hAnsi="彩虹粗仿宋" w:eastAsia="彩虹粗仿宋" w:cs="彩虹粗仿宋"/>
          <w:sz w:val="32"/>
          <w:szCs w:val="32"/>
        </w:rPr>
        <w:t>服务人员禁止进行其他可能导致我行保密信息泄漏的活动。</w:t>
      </w:r>
    </w:p>
    <w:p w14:paraId="7A3AA8D2">
      <w:pPr>
        <w:numPr>
          <w:ilvl w:val="0"/>
          <w:numId w:val="1"/>
        </w:numPr>
        <w:ind w:firstLine="643" w:firstLineChars="200"/>
        <w:rPr>
          <w:rFonts w:hint="eastAsia" w:ascii="彩虹楷体" w:hAnsi="彩虹楷体" w:eastAsia="彩虹楷体" w:cs="彩虹楷体"/>
          <w:b/>
          <w:bCs/>
          <w:sz w:val="32"/>
          <w:szCs w:val="32"/>
          <w:lang w:val="en-US" w:eastAsia="zh-CN"/>
        </w:rPr>
      </w:pPr>
      <w:r>
        <w:rPr>
          <w:rFonts w:hint="eastAsia" w:ascii="彩虹楷体" w:hAnsi="彩虹楷体" w:eastAsia="彩虹楷体" w:cs="彩虹楷体"/>
          <w:b/>
          <w:bCs/>
          <w:sz w:val="32"/>
          <w:szCs w:val="32"/>
          <w:lang w:val="en-US" w:eastAsia="zh-CN"/>
        </w:rPr>
        <w:t>售后服务要求</w:t>
      </w:r>
    </w:p>
    <w:p w14:paraId="52189FFE">
      <w:pPr>
        <w:spacing w:line="560" w:lineRule="exact"/>
        <w:ind w:firstLine="640" w:firstLineChars="200"/>
        <w:rPr>
          <w:sz w:val="32"/>
          <w:szCs w:val="32"/>
        </w:rPr>
      </w:pPr>
      <w:r>
        <w:rPr>
          <w:rFonts w:hint="eastAsia" w:ascii="彩虹粗仿宋" w:hAnsi="宋体" w:eastAsia="彩虹粗仿宋" w:cs="宋体"/>
          <w:bCs/>
          <w:sz w:val="32"/>
          <w:szCs w:val="32"/>
        </w:rPr>
        <w:t>7*24小时热线服务及在线支持到位，配合行内有效解决</w:t>
      </w:r>
      <w:r>
        <w:rPr>
          <w:rFonts w:hint="eastAsia" w:ascii="彩虹粗仿宋" w:hAnsi="宋体" w:eastAsia="彩虹粗仿宋" w:cs="宋体"/>
          <w:bCs/>
          <w:sz w:val="32"/>
          <w:szCs w:val="32"/>
          <w:lang w:eastAsia="zh-CN"/>
        </w:rPr>
        <w:t>项目</w:t>
      </w:r>
      <w:r>
        <w:rPr>
          <w:rFonts w:hint="eastAsia" w:ascii="彩虹粗仿宋" w:hAnsi="宋体" w:eastAsia="彩虹粗仿宋" w:cs="宋体"/>
          <w:bCs/>
          <w:sz w:val="32"/>
          <w:szCs w:val="32"/>
        </w:rPr>
        <w:t>开展过程中遇到的各种问题，配合行内制作各种相关费用台账报表，并按期供行方查阅。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彩虹小标宋">
    <w:panose1 w:val="03000509000000000000"/>
    <w:charset w:val="86"/>
    <w:family w:val="auto"/>
    <w:pitch w:val="default"/>
    <w:sig w:usb0="00000001" w:usb1="080E0000" w:usb2="00000000" w:usb3="00000000" w:csb0="00040000" w:csb1="00000000"/>
  </w:font>
  <w:font w:name="彩虹黑体">
    <w:panose1 w:val="03000509000000000000"/>
    <w:charset w:val="86"/>
    <w:family w:val="auto"/>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DB882A"/>
    <w:multiLevelType w:val="singleLevel"/>
    <w:tmpl w:val="20DB882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UxMzVhYjAzNTZhNDNhZTAzZDRiNWUyNDdkZDY3YTAifQ=="/>
  </w:docVars>
  <w:rsids>
    <w:rsidRoot w:val="00E52834"/>
    <w:rsid w:val="000206E5"/>
    <w:rsid w:val="00123FAE"/>
    <w:rsid w:val="00AB58BF"/>
    <w:rsid w:val="00E52834"/>
    <w:rsid w:val="00EB529C"/>
    <w:rsid w:val="02422C43"/>
    <w:rsid w:val="0407353E"/>
    <w:rsid w:val="06577A45"/>
    <w:rsid w:val="10CF5134"/>
    <w:rsid w:val="17E21F5F"/>
    <w:rsid w:val="26584C20"/>
    <w:rsid w:val="268F6768"/>
    <w:rsid w:val="2B056FDE"/>
    <w:rsid w:val="369F580E"/>
    <w:rsid w:val="37A70001"/>
    <w:rsid w:val="39FE7D95"/>
    <w:rsid w:val="430353EB"/>
    <w:rsid w:val="431B724D"/>
    <w:rsid w:val="44CD3781"/>
    <w:rsid w:val="4D1627AD"/>
    <w:rsid w:val="54CB27D8"/>
    <w:rsid w:val="5B800FA1"/>
    <w:rsid w:val="5E4F5428"/>
    <w:rsid w:val="60AB1A0C"/>
    <w:rsid w:val="620F49CE"/>
    <w:rsid w:val="67152523"/>
    <w:rsid w:val="6BEA1B52"/>
    <w:rsid w:val="6D307D8B"/>
    <w:rsid w:val="6DFF1586"/>
    <w:rsid w:val="71B9648B"/>
    <w:rsid w:val="79DE0271"/>
    <w:rsid w:val="7A4D1FBA"/>
    <w:rsid w:val="7B5D2DDE"/>
    <w:rsid w:val="7D361B51"/>
    <w:rsid w:val="7EA440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spacing w:before="260" w:after="260" w:line="413" w:lineRule="auto"/>
      <w:outlineLvl w:val="1"/>
    </w:pPr>
    <w:rPr>
      <w:rFonts w:ascii="Arial" w:hAnsi="Arial" w:eastAsia="黑体"/>
      <w:b/>
      <w:sz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paragraph" w:styleId="10">
    <w:name w:val="List Paragraph"/>
    <w:basedOn w:val="1"/>
    <w:qFormat/>
    <w:uiPriority w:val="99"/>
    <w:pPr>
      <w:ind w:firstLine="420" w:firstLineChars="200"/>
    </w:pPr>
    <w:rPr>
      <w:rFonts w:ascii="等线" w:hAnsi="等线" w:eastAsia="等线"/>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Words>
  <Characters>75</Characters>
  <Lines>1</Lines>
  <Paragraphs>1</Paragraphs>
  <TotalTime>1</TotalTime>
  <ScaleCrop>false</ScaleCrop>
  <LinksUpToDate>false</LinksUpToDate>
  <CharactersWithSpaces>86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2023-11-17T09:15:00Z</dcterms:created>
  <dc:creator>供应商管理科</dc:creator>
  <cp:lastModifiedBy>ccb</cp:lastModifiedBy>
  <dcterms:modified xsi:type="dcterms:W3CDTF">2025-11-17T09:31:32Z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AB87253115464F558CE8D257E2AA0206_12</vt:lpwstr>
  </property>
</Properties>
</file>