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rPr>
      </w:pPr>
      <w:r>
        <w:rPr>
          <w:rFonts w:hint="eastAsia"/>
          <w:snapToGrid w:val="0"/>
        </w:rPr>
        <w:t>安阳分行关于对城区钞币押运外包服务的采购需求</w:t>
      </w:r>
    </w:p>
    <w:p>
      <w:pPr>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w:t>
      </w:r>
      <w:bookmarkStart w:id="0" w:name="_GoBack"/>
      <w:r>
        <w:rPr>
          <w:rFonts w:hint="eastAsia" w:ascii="彩虹粗仿宋" w:eastAsia="彩虹粗仿宋"/>
          <w:sz w:val="32"/>
          <w:szCs w:val="32"/>
        </w:rPr>
        <w:t>同类银行钞币押运服务项目经验</w:t>
      </w:r>
      <w:bookmarkEnd w:id="0"/>
      <w:r>
        <w:rPr>
          <w:rFonts w:hint="eastAsia" w:ascii="彩虹粗仿宋" w:eastAsia="彩虹粗仿宋"/>
          <w:sz w:val="32"/>
          <w:szCs w:val="32"/>
        </w:rPr>
        <w:t>。</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w:t>
      </w:r>
      <w:r>
        <w:rPr>
          <w:rFonts w:hint="eastAsia" w:ascii="彩虹粗仿宋" w:eastAsia="彩虹粗仿宋"/>
          <w:sz w:val="32"/>
          <w:szCs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pStyle w:val="3"/>
        <w:spacing w:line="560" w:lineRule="exact"/>
        <w:ind w:firstLine="480" w:firstLineChars="150"/>
        <w:rPr>
          <w:rFonts w:ascii="彩虹粗仿宋" w:eastAsia="彩虹粗仿宋"/>
          <w:sz w:val="32"/>
        </w:rPr>
      </w:pPr>
      <w:r>
        <w:rPr>
          <w:rFonts w:hint="eastAsia" w:ascii="彩虹粗仿宋" w:eastAsia="彩虹粗仿宋" w:hAnsiTheme="minorHAnsi" w:cstheme="minorBidi"/>
          <w:sz w:val="32"/>
        </w:rPr>
        <w:t>（七）</w:t>
      </w:r>
      <w:r>
        <w:rPr>
          <w:rFonts w:hint="eastAsia" w:ascii="彩虹粗仿宋" w:eastAsia="彩虹粗仿宋" w:hAnsiTheme="minorHAnsi" w:cstheme="minorBidi"/>
          <w:sz w:val="32"/>
          <w:szCs w:val="22"/>
        </w:rPr>
        <w:t>注册地在安阳境内。</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5"/>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8"/>
        <w:gridCol w:w="1418"/>
        <w:gridCol w:w="3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p>
        </w:tc>
      </w:tr>
    </w:tbl>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（二）服务范围：</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1.安阳城区及县域支行（汤阴、水冶、林州、内黄县）营业机构、自助银行、自助设备等业务点；汤阴、水冶、林州、内黄县等所有建行业务点及上门服务点。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2.外币押运服务。</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（三）服务内容：</w:t>
      </w:r>
    </w:p>
    <w:p>
      <w:pPr>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本次拟采购服务为安阳城区钞币押运服务（含林州、汤阴、内黄、水冶支行）。</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eastAsia="彩虹粗仿宋" w:cs="Times New Roman" w:hAnsiTheme="minorEastAsia"/>
          <w:sz w:val="32"/>
          <w:szCs w:val="32"/>
        </w:rPr>
        <w:t>供应商负责向</w:t>
      </w:r>
      <w:r>
        <w:rPr>
          <w:rFonts w:hint="eastAsia" w:ascii="彩虹粗仿宋" w:hAnsi="宋体" w:eastAsia="彩虹粗仿宋" w:cs="Times New Roman"/>
          <w:snapToGrid w:val="0"/>
          <w:kern w:val="0"/>
          <w:sz w:val="32"/>
          <w:szCs w:val="32"/>
        </w:rPr>
        <w:t>业务点（上门服务点）早、晚营业尾款箱（包）的按时接送、解款、押运，尾款箱（包）的入库守护；自助设备加钞、清机的武装押运；上门服务；人民银行（含同业银行）提缴款，县支行到市行提缴款，省分行提缴款和凭证领取；城区业务点营业中提缴款；业务点与建行安阳分行本部之间的票据、重要空白凭证（含一般单证）、公文等物品传递。</w:t>
      </w:r>
    </w:p>
    <w:p>
      <w:pPr>
        <w:rPr>
          <w:rFonts w:ascii="彩虹黑体" w:hAnsi="彩虹黑体" w:eastAsia="彩虹黑体" w:cs="彩虹黑体"/>
          <w:sz w:val="32"/>
          <w:szCs w:val="32"/>
        </w:rPr>
      </w:pPr>
      <w:r>
        <w:rPr>
          <w:rFonts w:hint="eastAsia" w:ascii="彩虹黑体" w:hAnsi="彩虹黑体" w:eastAsia="彩虹黑体" w:cs="彩虹黑体"/>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w:t>
      </w:r>
      <w:r>
        <w:rPr>
          <w:rFonts w:hint="eastAsia" w:ascii="彩虹粗仿宋" w:hAnsi="宋体" w:eastAsia="彩虹粗仿宋" w:cs="Times New Roman"/>
          <w:snapToGrid w:val="0"/>
          <w:kern w:val="0"/>
          <w:sz w:val="32"/>
          <w:szCs w:val="32"/>
        </w:rPr>
        <w:t>供应商至少提供11路车组，全部采用制式防弹运钞车，全部安装有GPS全球卫星定位系统，配备GOTA全省无缝对讲系统，可通过监控指挥中心时刻掌控车辆运行轨迹，跟踪和调配车辆。同时，监控指挥中心与110报警联网，24小时双人值守，确保突发事件及时得到有效控制。</w:t>
      </w:r>
      <w:r>
        <w:rPr>
          <w:rFonts w:hint="eastAsia" w:ascii="彩虹粗仿宋" w:hAnsi="微软雅黑" w:eastAsia="彩虹粗仿宋" w:cs="宋体"/>
          <w:kern w:val="0"/>
          <w:sz w:val="32"/>
          <w:szCs w:val="32"/>
        </w:rPr>
        <w:t>每车组不低于5人（含2名押运人员、2名款箱员和1名司机）（不含守押公司驻行联系人）；</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（二）服务团队人员经过专业培训，符合武装守护要求，持保安员证上岗；</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（三）驻行车组及人员按照我行的要求完成每次的任务，遵章守纪，合规履职；</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（四）服务团队车组人员提供营运期间的支持保障及应急工作。</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（五）服务人员应按规定着装、办理领取交接等手续并持证上岗。</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（六）服务人员应执行双人持枪钞币运送、正确使用枪支弹药。</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（七）所用车辆办理有车险、押运标底物办理有保险、从业人员办理有人身意外险。</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四、服务质量要求</w:t>
      </w:r>
    </w:p>
    <w:p>
      <w:pPr>
        <w:adjustRightInd w:val="0"/>
        <w:snapToGrid w:val="0"/>
        <w:spacing w:line="560" w:lineRule="exact"/>
        <w:ind w:firstLine="643" w:firstLineChars="200"/>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4.供应商负责制定与受托业务相关的内控制度、操作规程、人员考核等办法，并报我行备案；未经我行书面同意，供应商不得将其在协议约定项下全部或部分权利义务转让或分包给任意第三方。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（二）风险控制和应急措施</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1 \* GB3 \* MERGEFORMAT </w:instrText>
      </w:r>
      <w:r>
        <w:rPr>
          <w:rFonts w:hint="eastAsia" w:ascii="彩虹粗仿宋" w:hAnsi="Times New Roman" w:eastAsia="彩虹粗仿宋" w:cs="Times New Roman"/>
          <w:sz w:val="32"/>
          <w:szCs w:val="32"/>
        </w:rPr>
        <w:fldChar w:fldCharType="separate"/>
      </w:r>
      <w:r>
        <w:t>①</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钞币运送和守护业务应按规程操作。</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2 \* GB3 \* MERGEFORMAT </w:instrText>
      </w:r>
      <w:r>
        <w:rPr>
          <w:rFonts w:hint="eastAsia" w:ascii="彩虹粗仿宋" w:hAnsi="Times New Roman" w:eastAsia="彩虹粗仿宋" w:cs="Times New Roman"/>
          <w:sz w:val="32"/>
          <w:szCs w:val="32"/>
        </w:rPr>
        <w:fldChar w:fldCharType="separate"/>
      </w:r>
      <w:r>
        <w:t>②</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定期对服务进行检查，每季度至少开展一次检查，每季度召开一次联席会，对检查发现问题及时通报供应商，限期整改和落实，每年度结束后形成年度评估报告。</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③服务监督管理实行“对事不对人”，供应商负责服务人员的招聘、管理、考核、薪酬发放等工作，我行负责监督检查供应商服务的数量、质量、应急处置。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（2）保密要求</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（4）供应商在处理事（案）件过程中要时刻向我行报告进展情况，待风险解除后，形成书面报告报送我行，我行综合评估后确定是否继续开展事项。</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楷体" w:hAnsi="彩虹楷体" w:eastAsia="彩虹粗仿宋" w:cs="彩虹楷体"/>
          <w:b/>
          <w:bCs/>
          <w:kern w:val="0"/>
          <w:sz w:val="32"/>
          <w:szCs w:val="32"/>
        </w:rPr>
      </w:pPr>
      <w:r>
        <w:rPr>
          <w:rFonts w:hint="eastAsia" w:ascii="彩虹粗仿宋" w:hAnsi="宋体" w:eastAsia="彩虹粗仿宋" w:cs="Times New Roman"/>
          <w:snapToGrid w:val="0"/>
          <w:kern w:val="0"/>
          <w:sz w:val="32"/>
          <w:szCs w:val="32"/>
        </w:rPr>
        <w:t>供应商应按照我行要求准确及时运送标的物并保证其正常，如出现标的物的遗失或损坏，供应商应照价赔偿并接受每次10000元的考核。</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五、服务供应安排</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（一）提供所需专用运钞车组服务安阳城区及县域支行（汤阴、水冶、林州、内黄县）营业机构、自助银行、自助设备等业务点；汤阴、水冶、林州、内黄县等所有建行业务点及上门服务点。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（二）11路运钞车按时停靠在指定的地点，作为采购方服务的专用车组，保证随叫随到，按时完成任务，其中林州、内黄支行为专车专用，服从林州、内黄支行安排。</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（三）供应商车辆只限于约定标的物的运送，采购方其他情况使用运钞车辆，可协商解决。</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四）对城区营业网点（含汤阴、水冶、林州、内黄支行）的票据传递必须在每星期一至星期五按照指定线路和时间收取专用封包袋，保证在当日上午9：00前派人送到建行稽核中心。遇法定节假日除外（采购方提前两日通知供应商具体协商传递事宜）。</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（五）每周二下午提供两个专用运钞车组负责各营业机构（含县支行）单证配送工作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六）为了工作需要对支行提缴款保证押运用车，做到随叫随到，林州、内黄支行由林州、内黄支行运钞专车根据支行要求进行提缴款工作。为了工作需要对上级行提缴款及重要单证领取，保证押运用车，做到随叫随到。</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七）在接送业务过程中，供应商运钞车组到达采购方业务点时，如采购方业务点因特殊原因不能按预定时间进行交接的，供应商可到下一个业务点进行交接，待该线路其它业务点交接完毕后再返回尚未交接的业务点办理交接，供应商应保证预定线路所有业务点全部交接完毕方能返回。</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（八）采购方有长途现金调运（含向上级行调运现金、重要单证及物品）工作时，供应商按采购方要求派出车组。</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服务过程中产生的人员、车辆等费用均有供应商承担。</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600"/>
        <w:rPr>
          <w:rFonts w:ascii="彩虹粗仿宋" w:eastAsia="彩虹粗仿宋" w:hAnsiTheme="minorEastAsia"/>
          <w:sz w:val="32"/>
          <w:szCs w:val="32"/>
        </w:rPr>
      </w:pPr>
      <w:r>
        <w:rPr>
          <w:rFonts w:hint="eastAsia" w:ascii="彩虹粗仿宋" w:hAnsi="宋体" w:eastAsia="彩虹粗仿宋" w:cs="Times New Roman"/>
          <w:snapToGrid w:val="0"/>
          <w:kern w:val="0"/>
          <w:sz w:val="32"/>
          <w:szCs w:val="32"/>
        </w:rPr>
        <w:t>服务安阳城区及县域支行35个营业机构、55个离行自助银行、自助设备，汤阴、水冶、林州、内黄县等所有建行业务点及上门服务点的押款需求，</w:t>
      </w:r>
      <w:r>
        <w:rPr>
          <w:rFonts w:hint="eastAsia" w:ascii="彩虹粗仿宋" w:eastAsia="彩虹粗仿宋" w:hAnsiTheme="minorEastAsia"/>
          <w:sz w:val="32"/>
          <w:szCs w:val="32"/>
        </w:rPr>
        <w:t>供应商</w:t>
      </w:r>
      <w:r>
        <w:rPr>
          <w:rFonts w:hint="eastAsia" w:ascii="彩虹粗仿宋" w:hAnsi="宋体" w:eastAsia="彩虹粗仿宋"/>
          <w:snapToGrid w:val="0"/>
          <w:color w:val="000000" w:themeColor="text1"/>
          <w:sz w:val="32"/>
          <w:szCs w:val="32"/>
          <w14:textFill>
            <w14:solidFill>
              <w14:schemeClr w14:val="tx1"/>
            </w14:solidFill>
          </w14:textFill>
        </w:rPr>
        <w:t>提供所需11个专用运钞车组</w:t>
      </w:r>
      <w:r>
        <w:rPr>
          <w:rFonts w:hint="eastAsia" w:ascii="彩虹粗仿宋" w:eastAsia="彩虹粗仿宋" w:hAnsiTheme="minorEastAsia"/>
          <w:sz w:val="32"/>
          <w:szCs w:val="32"/>
        </w:rPr>
        <w:t>。</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 xml:space="preserve">（一）服务区域内武装押运服务以运钞车组为计费单位，每月初10日内供应商应按采购方要求提供服务情况、线路清单和增值税专用发票等资料。 </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（二）在满足合同约定服务情况后，采购方应于每月15个工作日内将上月服务费转至供应商指定帐户。</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spacing w:line="520" w:lineRule="exact"/>
        <w:ind w:firstLine="640" w:firstLineChars="200"/>
        <w:rPr>
          <w:rFonts w:ascii="彩虹粗仿宋" w:eastAsia="彩虹粗仿宋"/>
          <w:color w:val="auto"/>
          <w:sz w:val="32"/>
          <w:szCs w:val="32"/>
        </w:rPr>
      </w:pPr>
      <w:r>
        <w:rPr>
          <w:rFonts w:hint="eastAsia" w:ascii="彩虹粗仿宋" w:eastAsia="彩虹粗仿宋"/>
          <w:color w:val="auto"/>
          <w:sz w:val="32"/>
          <w:szCs w:val="32"/>
        </w:rPr>
        <w:t>（一）市区各支行（含汤阴、内黄、水冶支行）需要10路运钞专用车组，</w:t>
      </w:r>
      <w:r>
        <w:rPr>
          <w:rFonts w:hint="eastAsia" w:ascii="彩虹粗仿宋" w:hAnsi="宋体" w:eastAsia="彩虹粗仿宋" w:cs="Times New Roman"/>
          <w:snapToGrid w:val="0"/>
          <w:color w:val="auto"/>
          <w:kern w:val="0"/>
          <w:sz w:val="32"/>
          <w:szCs w:val="32"/>
        </w:rPr>
        <w:t>每车组每月服务费用</w:t>
      </w:r>
      <w:r>
        <w:rPr>
          <w:rFonts w:hint="eastAsia" w:ascii="彩虹粗仿宋" w:eastAsia="彩虹粗仿宋"/>
          <w:color w:val="auto"/>
          <w:sz w:val="32"/>
          <w:szCs w:val="32"/>
          <w:lang w:val="en-US" w:eastAsia="zh-CN"/>
        </w:rPr>
        <w:t>475</w:t>
      </w:r>
      <w:r>
        <w:rPr>
          <w:rFonts w:hint="eastAsia" w:ascii="彩虹粗仿宋" w:eastAsia="彩虹粗仿宋"/>
          <w:color w:val="auto"/>
          <w:sz w:val="32"/>
          <w:szCs w:val="32"/>
        </w:rPr>
        <w:t>/12万元；</w:t>
      </w:r>
      <w:r>
        <w:rPr>
          <w:rFonts w:hint="eastAsia" w:ascii="彩虹粗仿宋" w:hAnsi="宋体" w:eastAsia="彩虹粗仿宋" w:cs="Times New Roman"/>
          <w:snapToGrid w:val="0"/>
          <w:color w:val="auto"/>
          <w:kern w:val="0"/>
          <w:sz w:val="32"/>
          <w:szCs w:val="32"/>
        </w:rPr>
        <w:t>每车组每年服务费用</w:t>
      </w:r>
      <w:r>
        <w:rPr>
          <w:rFonts w:hint="eastAsia" w:ascii="彩虹粗仿宋" w:eastAsia="彩虹粗仿宋"/>
          <w:color w:val="auto"/>
          <w:sz w:val="32"/>
          <w:szCs w:val="32"/>
          <w:lang w:val="en-US" w:eastAsia="zh-CN"/>
        </w:rPr>
        <w:t>475</w:t>
      </w:r>
      <w:r>
        <w:rPr>
          <w:rFonts w:hint="eastAsia" w:ascii="彩虹粗仿宋" w:eastAsia="彩虹粗仿宋"/>
          <w:color w:val="auto"/>
          <w:sz w:val="32"/>
          <w:szCs w:val="32"/>
        </w:rPr>
        <w:t>万元（含外币押运服务），</w:t>
      </w:r>
      <w:r>
        <w:rPr>
          <w:rFonts w:hint="eastAsia" w:ascii="彩虹粗仿宋" w:hAnsi="宋体" w:eastAsia="彩虹粗仿宋" w:cs="Times New Roman"/>
          <w:snapToGrid w:val="0"/>
          <w:color w:val="auto"/>
          <w:kern w:val="0"/>
          <w:sz w:val="32"/>
          <w:szCs w:val="32"/>
        </w:rPr>
        <w:t>10车组年费用</w:t>
      </w:r>
      <w:r>
        <w:rPr>
          <w:rFonts w:hint="eastAsia" w:ascii="彩虹粗仿宋" w:hAnsi="宋体" w:eastAsia="彩虹粗仿宋" w:cs="Times New Roman"/>
          <w:snapToGrid w:val="0"/>
          <w:color w:val="auto"/>
          <w:kern w:val="0"/>
          <w:sz w:val="32"/>
          <w:szCs w:val="32"/>
          <w:lang w:val="en-US" w:eastAsia="zh-CN"/>
        </w:rPr>
        <w:t>475</w:t>
      </w:r>
      <w:r>
        <w:rPr>
          <w:rFonts w:hint="eastAsia" w:ascii="彩虹粗仿宋" w:hAnsi="宋体" w:eastAsia="彩虹粗仿宋" w:cs="Times New Roman"/>
          <w:snapToGrid w:val="0"/>
          <w:color w:val="auto"/>
          <w:kern w:val="0"/>
          <w:sz w:val="32"/>
          <w:szCs w:val="32"/>
        </w:rPr>
        <w:t>万</w:t>
      </w:r>
      <w:r>
        <w:rPr>
          <w:rFonts w:hint="eastAsia" w:ascii="彩虹粗仿宋" w:hAnsi="宋体" w:eastAsia="彩虹粗仿宋" w:cs="Times New Roman"/>
          <w:snapToGrid w:val="0"/>
          <w:color w:val="auto"/>
          <w:kern w:val="0"/>
          <w:sz w:val="32"/>
          <w:szCs w:val="32"/>
          <w:lang w:val="en-US" w:eastAsia="zh-CN"/>
        </w:rPr>
        <w:t>元</w:t>
      </w:r>
      <w:r>
        <w:rPr>
          <w:rFonts w:hint="eastAsia" w:ascii="彩虹粗仿宋" w:hAnsi="宋体" w:eastAsia="彩虹粗仿宋" w:cs="Times New Roman"/>
          <w:snapToGrid w:val="0"/>
          <w:color w:val="auto"/>
          <w:kern w:val="0"/>
          <w:sz w:val="32"/>
          <w:szCs w:val="32"/>
        </w:rPr>
        <w:t>。</w:t>
      </w:r>
    </w:p>
    <w:p>
      <w:pPr>
        <w:spacing w:line="520" w:lineRule="exact"/>
        <w:ind w:firstLine="640" w:firstLineChars="200"/>
        <w:rPr>
          <w:rFonts w:ascii="彩虹粗仿宋" w:eastAsia="彩虹粗仿宋"/>
          <w:color w:val="auto"/>
          <w:sz w:val="32"/>
          <w:szCs w:val="32"/>
        </w:rPr>
      </w:pPr>
      <w:r>
        <w:rPr>
          <w:rFonts w:hint="eastAsia" w:ascii="彩虹粗仿宋" w:eastAsia="彩虹粗仿宋"/>
          <w:color w:val="auto"/>
          <w:sz w:val="32"/>
          <w:szCs w:val="32"/>
        </w:rPr>
        <w:t>（二）林州支行需1路运钞专用车组，负责林州市内4个营业机构、5个离行自助（因人民银行取消了林州当地的金库，支行业务繁忙），</w:t>
      </w:r>
      <w:r>
        <w:rPr>
          <w:rFonts w:hint="eastAsia" w:ascii="彩虹粗仿宋" w:hAnsi="宋体" w:eastAsia="彩虹粗仿宋" w:cs="Times New Roman"/>
          <w:snapToGrid w:val="0"/>
          <w:color w:val="auto"/>
          <w:kern w:val="0"/>
          <w:sz w:val="32"/>
          <w:szCs w:val="32"/>
        </w:rPr>
        <w:t>每车组每月服务费用</w:t>
      </w:r>
      <w:r>
        <w:rPr>
          <w:rFonts w:hint="eastAsia" w:ascii="彩虹粗仿宋" w:eastAsia="彩虹粗仿宋"/>
          <w:color w:val="auto"/>
          <w:sz w:val="32"/>
          <w:szCs w:val="32"/>
        </w:rPr>
        <w:t>5</w:t>
      </w:r>
      <w:r>
        <w:rPr>
          <w:rFonts w:hint="eastAsia" w:ascii="彩虹粗仿宋" w:eastAsia="彩虹粗仿宋"/>
          <w:color w:val="auto"/>
          <w:sz w:val="32"/>
          <w:szCs w:val="32"/>
          <w:lang w:val="en-US" w:eastAsia="zh-CN"/>
        </w:rPr>
        <w:t>5</w:t>
      </w:r>
      <w:r>
        <w:rPr>
          <w:rFonts w:hint="eastAsia" w:ascii="彩虹粗仿宋" w:eastAsia="彩虹粗仿宋"/>
          <w:color w:val="auto"/>
          <w:sz w:val="32"/>
          <w:szCs w:val="32"/>
        </w:rPr>
        <w:t>.5/12万元；</w:t>
      </w:r>
      <w:r>
        <w:rPr>
          <w:rFonts w:hint="eastAsia" w:ascii="彩虹粗仿宋" w:hAnsi="宋体" w:eastAsia="彩虹粗仿宋" w:cs="Times New Roman"/>
          <w:snapToGrid w:val="0"/>
          <w:color w:val="auto"/>
          <w:kern w:val="0"/>
          <w:sz w:val="32"/>
          <w:szCs w:val="32"/>
        </w:rPr>
        <w:t>每车组每年服务费用</w:t>
      </w:r>
      <w:r>
        <w:rPr>
          <w:rFonts w:hint="eastAsia" w:ascii="彩虹粗仿宋" w:eastAsia="彩虹粗仿宋"/>
          <w:color w:val="auto"/>
          <w:sz w:val="32"/>
          <w:szCs w:val="32"/>
        </w:rPr>
        <w:t>5</w:t>
      </w:r>
      <w:r>
        <w:rPr>
          <w:rFonts w:hint="eastAsia" w:ascii="彩虹粗仿宋" w:eastAsia="彩虹粗仿宋"/>
          <w:color w:val="auto"/>
          <w:sz w:val="32"/>
          <w:szCs w:val="32"/>
          <w:lang w:val="en-US" w:eastAsia="zh-CN"/>
        </w:rPr>
        <w:t>5</w:t>
      </w:r>
      <w:r>
        <w:rPr>
          <w:rFonts w:hint="eastAsia" w:ascii="彩虹粗仿宋" w:eastAsia="彩虹粗仿宋"/>
          <w:color w:val="auto"/>
          <w:sz w:val="32"/>
          <w:szCs w:val="32"/>
        </w:rPr>
        <w:t>.5万元。</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（三）供应商应开具增值税专用发票。</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（四）按每车组每月服务费用报价，报价超过预算金额为无效报价。</w:t>
      </w:r>
    </w:p>
    <w:p>
      <w:pPr>
        <w:spacing w:line="560" w:lineRule="exact"/>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九、其他要求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协议期间,如需增加或减少押运车辆,以签订补充协议为准.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F6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table" w:styleId="5">
    <w:name w:val="Table Grid"/>
    <w:basedOn w:val="4"/>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2024-05-23T01:54:35Z</dcterms:created>
  <dc:creator>haccb</dc:creator>
  <cp:lastModifiedBy>haccb</cp:lastModifiedBy>
  <dcterms:modified xsi:type="dcterms:W3CDTF">2024-05-23T01:59:20Z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A77DD08AE8CC4D39AEE707CE9A25CCD6_12</vt:lpwstr>
  </property>
</Properties>
</file>