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0"/>
        <w:rPr>
          <w:rFonts w:ascii="Times New Roman" w:hAnsi="Times New Roman" w:eastAsia="彩虹小标宋" w:cs="Times New Roman"/>
          <w:sz w:val="44"/>
          <w:szCs w:val="44"/>
        </w:rPr>
      </w:pPr>
      <w:r>
        <w:rPr>
          <w:rFonts w:hint="eastAsia" w:ascii="Times New Roman" w:hAnsi="Times New Roman" w:eastAsia="彩虹小标宋" w:cs="Times New Roman"/>
          <w:sz w:val="44"/>
          <w:szCs w:val="44"/>
        </w:rPr>
        <w:t>电信网络诈骗风险识别产品使用服务</w:t>
      </w:r>
      <w:r>
        <w:rPr>
          <w:rFonts w:ascii="Times New Roman" w:hAnsi="Times New Roman" w:eastAsia="彩虹小标宋" w:cs="Times New Roman"/>
          <w:sz w:val="44"/>
          <w:szCs w:val="44"/>
        </w:rPr>
        <w:t>采购需求</w:t>
      </w:r>
    </w:p>
    <w:p>
      <w:pPr>
        <w:ind w:firstLine="640" w:firstLineChars="200"/>
        <w:rPr>
          <w:sz w:val="32"/>
          <w:szCs w:val="32"/>
        </w:rPr>
      </w:pPr>
    </w:p>
    <w:p>
      <w:pPr>
        <w:numPr>
          <w:ilvl w:val="0"/>
          <w:numId w:val="1"/>
        </w:numPr>
        <w:spacing w:line="560" w:lineRule="exact"/>
        <w:ind w:firstLine="640"/>
        <w:outlineLvl w:val="0"/>
        <w:rPr>
          <w:rFonts w:ascii="彩虹黑体" w:hAnsi="Times New Roman" w:eastAsia="彩虹黑体" w:cs="Times New Roman"/>
          <w:snapToGrid w:val="0"/>
          <w:kern w:val="0"/>
          <w:sz w:val="32"/>
          <w:szCs w:val="32"/>
        </w:rPr>
      </w:pPr>
      <w:r>
        <w:rPr>
          <w:rFonts w:hint="eastAsia" w:ascii="彩虹黑体" w:hAnsi="Times New Roman" w:eastAsia="彩虹黑体" w:cs="Times New Roman"/>
          <w:snapToGrid w:val="0"/>
          <w:kern w:val="0"/>
          <w:sz w:val="32"/>
          <w:szCs w:val="32"/>
        </w:rPr>
        <w:t>服务供应商要求</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供应商须为在中华人民共和国境内登记注册的具有独立承担民事责任能力的法人或其他组织，在</w:t>
      </w:r>
      <w:r>
        <w:rPr>
          <w:rFonts w:hint="eastAsia" w:ascii="彩虹粗仿宋" w:eastAsia="彩虹粗仿宋"/>
          <w:sz w:val="32"/>
          <w:szCs w:val="24"/>
        </w:rPr>
        <w:t>电信网络诈骗风险信息</w:t>
      </w:r>
      <w:r>
        <w:rPr>
          <w:rFonts w:hint="eastAsia" w:ascii="彩虹粗仿宋" w:hAnsi="宋体" w:eastAsia="彩虹粗仿宋"/>
          <w:snapToGrid w:val="0"/>
          <w:kern w:val="0"/>
          <w:sz w:val="32"/>
          <w:szCs w:val="32"/>
        </w:rPr>
        <w:t>及黑产情报信息服务具有行业领先地位，需提供其他同业银行合作案例。</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供应商须保证并承诺信息准确性和合法性，若由供应商提供数据所涉及或导致的合规合法问题，须由供应商承担相应的全部法律责任。</w:t>
      </w:r>
    </w:p>
    <w:p>
      <w:pPr>
        <w:numPr>
          <w:ilvl w:val="0"/>
          <w:numId w:val="1"/>
        </w:numPr>
        <w:spacing w:line="560" w:lineRule="exact"/>
        <w:ind w:firstLine="640"/>
        <w:outlineLvl w:val="0"/>
        <w:rPr>
          <w:rFonts w:ascii="彩虹黑体" w:hAnsi="Times New Roman" w:eastAsia="彩虹黑体" w:cs="Times New Roman"/>
          <w:snapToGrid w:val="0"/>
          <w:kern w:val="0"/>
          <w:sz w:val="32"/>
          <w:szCs w:val="32"/>
        </w:rPr>
      </w:pPr>
      <w:r>
        <w:rPr>
          <w:rFonts w:hint="eastAsia" w:ascii="彩虹黑体" w:hAnsi="Times New Roman" w:eastAsia="彩虹黑体" w:cs="Times New Roman"/>
          <w:snapToGrid w:val="0"/>
          <w:kern w:val="0"/>
          <w:sz w:val="32"/>
          <w:szCs w:val="32"/>
        </w:rPr>
        <w:t>服务需求</w:t>
      </w:r>
    </w:p>
    <w:p>
      <w:pPr>
        <w:pStyle w:val="2"/>
        <w:tabs>
          <w:tab w:val="left" w:pos="1960"/>
        </w:tabs>
        <w:adjustRightInd w:val="0"/>
        <w:snapToGrid w:val="0"/>
        <w:spacing w:line="560" w:lineRule="atLeast"/>
        <w:ind w:firstLine="640" w:firstLineChars="200"/>
        <w:rPr>
          <w:rFonts w:ascii="彩虹粗仿宋" w:eastAsia="彩虹粗仿宋"/>
          <w:sz w:val="32"/>
          <w:szCs w:val="24"/>
        </w:rPr>
      </w:pPr>
      <w:r>
        <w:rPr>
          <w:rFonts w:hint="eastAsia" w:ascii="彩虹粗仿宋" w:eastAsia="彩虹粗仿宋"/>
          <w:sz w:val="32"/>
          <w:szCs w:val="24"/>
        </w:rPr>
        <w:t>电信网络诈骗风险识别产品使用服务需满足以下功能需求：</w:t>
      </w:r>
    </w:p>
    <w:p>
      <w:pPr>
        <w:pStyle w:val="2"/>
        <w:tabs>
          <w:tab w:val="left" w:pos="1960"/>
        </w:tabs>
        <w:adjustRightInd w:val="0"/>
        <w:snapToGrid w:val="0"/>
        <w:spacing w:line="560" w:lineRule="atLeast"/>
        <w:ind w:firstLine="640" w:firstLineChars="200"/>
        <w:rPr>
          <w:rFonts w:hint="eastAsia" w:ascii="彩虹粗仿宋" w:eastAsia="彩虹粗仿宋"/>
          <w:sz w:val="32"/>
          <w:szCs w:val="24"/>
        </w:rPr>
      </w:pPr>
      <w:r>
        <w:rPr>
          <w:rFonts w:hint="eastAsia" w:ascii="彩虹粗仿宋" w:eastAsia="彩虹粗仿宋"/>
          <w:sz w:val="32"/>
          <w:szCs w:val="24"/>
        </w:rPr>
        <w:t>1、电诈风险评分能力：提供基于社交平台及电信运营商的电诈风险信息构建电诈风险评估模型并提供风险评分查询接口。</w:t>
      </w:r>
    </w:p>
    <w:p>
      <w:pPr>
        <w:pStyle w:val="2"/>
        <w:tabs>
          <w:tab w:val="left" w:pos="1960"/>
        </w:tabs>
        <w:adjustRightInd w:val="0"/>
        <w:snapToGrid w:val="0"/>
        <w:spacing w:line="560" w:lineRule="atLeast"/>
        <w:ind w:firstLine="640" w:firstLineChars="200"/>
        <w:rPr>
          <w:rFonts w:hint="eastAsia" w:ascii="彩虹粗仿宋" w:eastAsia="彩虹粗仿宋"/>
          <w:sz w:val="32"/>
          <w:szCs w:val="24"/>
        </w:rPr>
      </w:pPr>
      <w:r>
        <w:rPr>
          <w:rFonts w:hint="eastAsia" w:ascii="彩虹粗仿宋" w:eastAsia="彩虹粗仿宋"/>
          <w:sz w:val="32"/>
          <w:szCs w:val="24"/>
        </w:rPr>
        <w:t>2、电诈黑产情报智能分析能力：具备电诈黑产情报搜集、分析能力，并提供情报分析结果查询接口。</w:t>
      </w:r>
    </w:p>
    <w:p>
      <w:pPr>
        <w:pStyle w:val="2"/>
        <w:tabs>
          <w:tab w:val="left" w:pos="1960"/>
        </w:tabs>
        <w:adjustRightInd w:val="0"/>
        <w:snapToGrid w:val="0"/>
        <w:spacing w:line="560" w:lineRule="atLeast"/>
        <w:ind w:firstLine="640" w:firstLineChars="200"/>
        <w:rPr>
          <w:rFonts w:ascii="彩虹粗仿宋" w:eastAsia="彩虹粗仿宋"/>
          <w:sz w:val="32"/>
          <w:szCs w:val="24"/>
        </w:rPr>
      </w:pPr>
      <w:r>
        <w:rPr>
          <w:rFonts w:hint="eastAsia" w:ascii="彩虹粗仿宋" w:eastAsia="彩虹粗仿宋"/>
          <w:sz w:val="32"/>
          <w:szCs w:val="24"/>
        </w:rPr>
        <w:t>3、隐私计算节点部署能力：在银行侧部署隐私计算节点，服务提供商将风险电话号码等信息加密存放在银行侧的隐私计算节点上，银行通过数据不出域方式输入手机号等必要参数，由供应商通过接口服务实时评估并向银行返回风险结果，确保双方的客户敏感信息安全可控。</w:t>
      </w:r>
    </w:p>
    <w:p>
      <w:pPr>
        <w:numPr>
          <w:ilvl w:val="0"/>
          <w:numId w:val="1"/>
        </w:numPr>
        <w:spacing w:line="560" w:lineRule="exact"/>
        <w:ind w:firstLine="640"/>
        <w:outlineLvl w:val="0"/>
        <w:rPr>
          <w:rFonts w:ascii="彩虹黑体" w:hAnsi="Times New Roman" w:eastAsia="彩虹黑体" w:cs="Times New Roman"/>
          <w:snapToGrid w:val="0"/>
          <w:kern w:val="0"/>
          <w:sz w:val="32"/>
          <w:szCs w:val="32"/>
        </w:rPr>
      </w:pPr>
      <w:r>
        <w:rPr>
          <w:rFonts w:hint="eastAsia" w:ascii="彩虹黑体" w:hAnsi="Times New Roman" w:eastAsia="彩虹黑体" w:cs="Times New Roman"/>
          <w:snapToGrid w:val="0"/>
          <w:kern w:val="0"/>
          <w:sz w:val="32"/>
          <w:szCs w:val="32"/>
        </w:rPr>
        <w:t>服务质量要求</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供应商应提供完整合理的项目进度计划，项目实施方案需与项目需求契合，满足本项目的具体接口服务需求。</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供应商应对本项目有充分理解，对其提供的产品服务承担质量保证责任，负责免费提供产品培训，确保其提供的产品及接口服务能满足需求并通过验收。</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napToGrid w:val="0"/>
          <w:kern w:val="0"/>
          <w:sz w:val="32"/>
          <w:szCs w:val="32"/>
        </w:rPr>
        <w:t>供应商需保证提供的产品服务、数据及任何内容、资料等均不会侵犯任何第三方的权利。双方有责任对本项目涉及的产品价格、技术信息及工作内容及在履行完成项目过程中知悉的任何其他保密信息进行保密。涉及任何一方的上述保密信息除经对方书面同意外，不得向任何第三方泄漏。</w:t>
      </w:r>
    </w:p>
    <w:p>
      <w:pPr>
        <w:numPr>
          <w:ilvl w:val="0"/>
          <w:numId w:val="1"/>
        </w:numPr>
        <w:spacing w:line="560" w:lineRule="exact"/>
        <w:ind w:firstLine="640"/>
        <w:outlineLvl w:val="0"/>
        <w:rPr>
          <w:rFonts w:ascii="彩虹黑体" w:hAnsi="Times New Roman" w:eastAsia="彩虹黑体" w:cs="Times New Roman"/>
          <w:snapToGrid w:val="0"/>
          <w:kern w:val="0"/>
          <w:sz w:val="32"/>
          <w:szCs w:val="32"/>
        </w:rPr>
      </w:pPr>
      <w:r>
        <w:rPr>
          <w:rFonts w:hint="eastAsia" w:ascii="彩虹黑体" w:hAnsi="Times New Roman" w:eastAsia="彩虹黑体" w:cs="Times New Roman"/>
          <w:snapToGrid w:val="0"/>
          <w:kern w:val="0"/>
          <w:sz w:val="32"/>
          <w:szCs w:val="32"/>
        </w:rPr>
        <w:t>服务供应安排</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eastAsia="zh-CN"/>
        </w:rPr>
        <w:t>供应商承诺签订合同一个月内，在</w:t>
      </w:r>
      <w:r>
        <w:rPr>
          <w:rFonts w:ascii="彩虹粗仿宋" w:hAnsi="宋体" w:eastAsia="彩虹粗仿宋"/>
          <w:sz w:val="32"/>
          <w:szCs w:val="32"/>
        </w:rPr>
        <w:t>符合建行</w:t>
      </w:r>
      <w:r>
        <w:rPr>
          <w:rFonts w:hint="eastAsia" w:ascii="彩虹粗仿宋" w:hAnsi="宋体" w:eastAsia="彩虹粗仿宋"/>
          <w:sz w:val="32"/>
          <w:szCs w:val="32"/>
          <w:lang w:eastAsia="zh-CN"/>
        </w:rPr>
        <w:t>安全检测要求前提下</w:t>
      </w:r>
      <w:r>
        <w:rPr>
          <w:rFonts w:hint="eastAsia" w:ascii="彩虹粗仿宋" w:hAnsi="宋体" w:eastAsia="彩虹粗仿宋"/>
          <w:sz w:val="32"/>
          <w:szCs w:val="32"/>
        </w:rPr>
        <w:t>进行本地化部署</w:t>
      </w:r>
      <w:r>
        <w:rPr>
          <w:rFonts w:hint="eastAsia" w:ascii="彩虹粗仿宋" w:hAnsi="宋体" w:eastAsia="彩虹粗仿宋"/>
          <w:sz w:val="32"/>
          <w:szCs w:val="32"/>
          <w:lang w:eastAsia="zh-CN"/>
        </w:rPr>
        <w:t>，</w:t>
      </w:r>
      <w:r>
        <w:rPr>
          <w:rFonts w:hint="eastAsia" w:ascii="彩虹粗仿宋" w:hAnsi="宋体" w:eastAsia="彩虹粗仿宋"/>
          <w:sz w:val="32"/>
          <w:szCs w:val="32"/>
        </w:rPr>
        <w:t>投产前</w:t>
      </w:r>
      <w:r>
        <w:rPr>
          <w:rFonts w:ascii="彩虹粗仿宋" w:hAnsi="宋体" w:eastAsia="彩虹粗仿宋"/>
          <w:sz w:val="32"/>
          <w:szCs w:val="32"/>
        </w:rPr>
        <w:t>，</w:t>
      </w:r>
      <w:r>
        <w:rPr>
          <w:rFonts w:hint="eastAsia" w:ascii="彩虹粗仿宋" w:hAnsi="宋体" w:eastAsia="彩虹粗仿宋"/>
          <w:sz w:val="32"/>
          <w:szCs w:val="32"/>
        </w:rPr>
        <w:t>需</w:t>
      </w:r>
      <w:r>
        <w:rPr>
          <w:rFonts w:ascii="彩虹粗仿宋" w:hAnsi="宋体" w:eastAsia="彩虹粗仿宋"/>
          <w:sz w:val="32"/>
          <w:szCs w:val="32"/>
        </w:rPr>
        <w:t>根据具体业务需求，定制化调整</w:t>
      </w:r>
      <w:r>
        <w:rPr>
          <w:rFonts w:hint="eastAsia" w:ascii="彩虹粗仿宋" w:hAnsi="宋体" w:eastAsia="彩虹粗仿宋"/>
          <w:sz w:val="32"/>
          <w:szCs w:val="32"/>
        </w:rPr>
        <w:t>接口</w:t>
      </w:r>
      <w:r>
        <w:rPr>
          <w:rFonts w:ascii="彩虹粗仿宋" w:hAnsi="宋体" w:eastAsia="彩虹粗仿宋"/>
          <w:sz w:val="32"/>
          <w:szCs w:val="32"/>
        </w:rPr>
        <w:t>功能</w:t>
      </w:r>
      <w:r>
        <w:rPr>
          <w:rFonts w:hint="eastAsia" w:ascii="彩虹粗仿宋" w:hAnsi="宋体" w:eastAsia="彩虹粗仿宋"/>
          <w:sz w:val="32"/>
          <w:szCs w:val="32"/>
        </w:rPr>
        <w:t>，</w:t>
      </w:r>
      <w:r>
        <w:rPr>
          <w:rFonts w:ascii="彩虹粗仿宋" w:hAnsi="宋体" w:eastAsia="彩虹粗仿宋"/>
          <w:sz w:val="32"/>
          <w:szCs w:val="32"/>
        </w:rPr>
        <w:t>确</w:t>
      </w:r>
      <w:bookmarkStart w:id="0" w:name="_GoBack"/>
      <w:bookmarkEnd w:id="0"/>
      <w:r>
        <w:rPr>
          <w:rFonts w:ascii="彩虹粗仿宋" w:hAnsi="宋体" w:eastAsia="彩虹粗仿宋"/>
          <w:sz w:val="32"/>
          <w:szCs w:val="32"/>
        </w:rPr>
        <w:t>保功能</w:t>
      </w:r>
      <w:r>
        <w:rPr>
          <w:rFonts w:hint="eastAsia" w:ascii="彩虹粗仿宋" w:hAnsi="宋体" w:eastAsia="彩虹粗仿宋"/>
          <w:sz w:val="32"/>
          <w:szCs w:val="32"/>
        </w:rPr>
        <w:t>满足</w:t>
      </w:r>
      <w:r>
        <w:rPr>
          <w:rFonts w:ascii="彩虹粗仿宋" w:hAnsi="宋体" w:eastAsia="彩虹粗仿宋"/>
          <w:sz w:val="32"/>
          <w:szCs w:val="32"/>
        </w:rPr>
        <w:t>业务</w:t>
      </w:r>
      <w:r>
        <w:rPr>
          <w:rFonts w:hint="eastAsia" w:ascii="彩虹粗仿宋" w:hAnsi="宋体" w:eastAsia="彩虹粗仿宋"/>
          <w:sz w:val="32"/>
          <w:szCs w:val="32"/>
        </w:rPr>
        <w:t>需要。</w:t>
      </w:r>
      <w:r>
        <w:rPr>
          <w:rFonts w:hint="eastAsia" w:ascii="彩虹粗仿宋" w:hAnsi="宋体" w:eastAsia="彩虹粗仿宋"/>
          <w:snapToGrid w:val="0"/>
          <w:kern w:val="0"/>
          <w:sz w:val="32"/>
          <w:szCs w:val="32"/>
        </w:rPr>
        <w:t>服务过程产生的费用需包含在本项目报价中，费用包括但不限于项目服务接口搭建、部署、技术支持及测试等费用。</w:t>
      </w:r>
    </w:p>
    <w:p>
      <w:pPr>
        <w:ind w:firstLine="640" w:firstLineChars="200"/>
        <w:rPr>
          <w:rFonts w:hint="eastAsia" w:ascii="彩虹粗仿宋" w:hAnsi="宋体" w:eastAsia="彩虹粗仿宋"/>
          <w:sz w:val="32"/>
          <w:szCs w:val="32"/>
          <w:lang w:eastAsia="zh-CN"/>
        </w:rPr>
      </w:pPr>
      <w:r>
        <w:rPr>
          <w:rFonts w:hint="eastAsia" w:ascii="彩虹粗仿宋" w:hAnsi="宋体" w:eastAsia="彩虹粗仿宋"/>
          <w:sz w:val="32"/>
          <w:szCs w:val="32"/>
        </w:rPr>
        <w:t>中标公司需由提供7*24小时工程师全流程线上支撑服务，包括接口文档、开通文档、测试与联调指导等材料与技术支持。并为反赌反诈工具与行内管控手段的结合运用，提供专家建议，针对反赌反诈形式变化，提供专家解读</w:t>
      </w:r>
      <w:r>
        <w:rPr>
          <w:rFonts w:hint="eastAsia" w:ascii="彩虹粗仿宋" w:hAnsi="宋体" w:eastAsia="彩虹粗仿宋"/>
          <w:sz w:val="32"/>
          <w:szCs w:val="32"/>
          <w:lang w:eastAsia="zh-CN"/>
        </w:rPr>
        <w:t>。</w:t>
      </w:r>
    </w:p>
    <w:p>
      <w:pPr>
        <w:numPr>
          <w:ilvl w:val="0"/>
          <w:numId w:val="1"/>
        </w:numPr>
        <w:spacing w:line="560" w:lineRule="exact"/>
        <w:ind w:firstLine="640"/>
        <w:outlineLvl w:val="0"/>
        <w:rPr>
          <w:rFonts w:ascii="彩虹黑体" w:hAnsi="Times New Roman" w:eastAsia="彩虹黑体" w:cs="Times New Roman"/>
          <w:snapToGrid w:val="0"/>
          <w:kern w:val="0"/>
          <w:sz w:val="32"/>
          <w:szCs w:val="32"/>
        </w:rPr>
      </w:pPr>
      <w:r>
        <w:rPr>
          <w:rFonts w:hint="eastAsia" w:ascii="彩虹黑体" w:hAnsi="Times New Roman" w:eastAsia="彩虹黑体" w:cs="Times New Roman"/>
          <w:snapToGrid w:val="0"/>
          <w:kern w:val="0"/>
          <w:sz w:val="32"/>
          <w:szCs w:val="32"/>
        </w:rPr>
        <w:t>报价要求</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napToGrid w:val="0"/>
          <w:kern w:val="0"/>
          <w:sz w:val="32"/>
          <w:szCs w:val="32"/>
        </w:rPr>
        <w:t>供应商含税报价不能超过本项目预算，</w:t>
      </w:r>
      <w:r>
        <w:rPr>
          <w:rFonts w:ascii="彩虹粗仿宋" w:hAnsi="宋体" w:eastAsia="彩虹粗仿宋"/>
          <w:snapToGrid w:val="0"/>
          <w:kern w:val="0"/>
          <w:sz w:val="32"/>
          <w:szCs w:val="32"/>
        </w:rPr>
        <w:t>含税报价超过预算视为无效投标。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宋体"/>
    <w:panose1 w:val="00000000000000000000"/>
    <w:charset w:val="00"/>
    <w:family w:val="modern"/>
    <w:pitch w:val="default"/>
    <w:sig w:usb0="00000000" w:usb1="00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FF45D8"/>
    <w:multiLevelType w:val="singleLevel"/>
    <w:tmpl w:val="AEFF45D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6A795C"/>
    <w:rsid w:val="00AB58BF"/>
    <w:rsid w:val="00E52834"/>
    <w:rsid w:val="00EB529C"/>
    <w:rsid w:val="00F60597"/>
    <w:rsid w:val="5FDAEF0B"/>
    <w:rsid w:val="6B2FEFE0"/>
    <w:rsid w:val="7B7E6601"/>
    <w:rsid w:val="7DB20A83"/>
    <w:rsid w:val="7E7BCA5B"/>
    <w:rsid w:val="7FC46C59"/>
    <w:rsid w:val="7FFED5C9"/>
    <w:rsid w:val="7FFF4FEC"/>
    <w:rsid w:val="BF2350E6"/>
    <w:rsid w:val="CE7D69AE"/>
    <w:rsid w:val="DFEF0862"/>
    <w:rsid w:val="F6F02E6A"/>
    <w:rsid w:val="F75FBEF2"/>
    <w:rsid w:val="FEBFC233"/>
    <w:rsid w:val="FF62CA66"/>
    <w:rsid w:val="FF881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0"/>
    <w:pPr>
      <w:ind w:firstLine="570"/>
    </w:pPr>
    <w:rPr>
      <w:rFonts w:ascii="仿宋_GB2312" w:eastAsia="仿宋_GB2312"/>
      <w:sz w:val="28"/>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150</Words>
  <Characters>858</Characters>
  <Lines>7</Lines>
  <Paragraphs>2</Paragraphs>
  <TotalTime>0</TotalTime>
  <ScaleCrop>false</ScaleCrop>
  <LinksUpToDate>false</LinksUpToDate>
  <CharactersWithSpaces>1006</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2023-11-19T01:15:00Z</dcterms:created>
  <dc:creator>供应商管理科</dc:creator>
  <cp:lastModifiedBy>ccb</cp:lastModifiedBy>
  <dcterms:modified xsi:type="dcterms:W3CDTF">2025-12-05T20:15:29Z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F82272D614796BACFE8B1E69458A0816_42</vt:lpwstr>
  </property>
</Properties>
</file>