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after="312" w:afterLines="100" w:line="560" w:lineRule="exact"/>
        <w:ind w:firstLine="2520" w:firstLineChars="700"/>
        <w:rPr>
          <w:rFonts w:ascii="彩虹小标宋" w:hAnsi="宋体" w:eastAsia="彩虹小标宋"/>
          <w:snapToGrid w:val="0"/>
          <w:color w:val="000000" w:themeColor="text1"/>
          <w:kern w:val="0"/>
          <w:sz w:val="36"/>
          <w:szCs w:val="36"/>
          <w14:textFill>
            <w14:solidFill>
              <w14:schemeClr w14:val="tx1"/>
            </w14:solidFill>
          </w14:textFill>
        </w:rPr>
      </w:pPr>
      <w:r>
        <w:rPr>
          <w:rFonts w:hint="eastAsia" w:ascii="彩虹小标宋" w:hAnsi="宋体" w:eastAsia="彩虹小标宋"/>
          <w:snapToGrid w:val="0"/>
          <w:color w:val="000000" w:themeColor="text1"/>
          <w:kern w:val="0"/>
          <w:sz w:val="36"/>
          <w:szCs w:val="36"/>
          <w14:textFill>
            <w14:solidFill>
              <w14:schemeClr w14:val="tx1"/>
            </w14:solidFill>
          </w14:textFill>
        </w:rPr>
        <w:t>采购需求正文</w:t>
      </w:r>
    </w:p>
    <w:p>
      <w:pPr>
        <w:adjustRightInd w:val="0"/>
        <w:snapToGrid w:val="0"/>
        <w:spacing w:after="312" w:afterLines="100" w:line="560" w:lineRule="exact"/>
        <w:rPr>
          <w:rFonts w:ascii="彩虹粗仿宋" w:hAnsi="宋体" w:eastAsia="彩虹粗仿宋"/>
          <w:snapToGrid w:val="0"/>
          <w:color w:val="000000" w:themeColor="text1"/>
          <w:kern w:val="0"/>
          <w:sz w:val="32"/>
          <w:szCs w:val="32"/>
          <w14:textFill>
            <w14:solidFill>
              <w14:schemeClr w14:val="tx1"/>
            </w14:solidFill>
          </w14:textFill>
        </w:rPr>
      </w:pPr>
      <w:r>
        <w:rPr>
          <w:rFonts w:hint="eastAsia" w:ascii="彩虹黑体" w:hAnsi="宋体" w:eastAsia="彩虹黑体" w:cs="Times New Roman"/>
          <w:snapToGrid w:val="0"/>
          <w:color w:val="000000" w:themeColor="text1"/>
          <w:kern w:val="0"/>
          <w:sz w:val="32"/>
          <w:szCs w:val="32"/>
          <w14:textFill>
            <w14:solidFill>
              <w14:schemeClr w14:val="tx1"/>
            </w14:solidFill>
          </w14:textFill>
        </w:rPr>
        <w:t>一、对候选投标人的要求</w:t>
      </w:r>
    </w:p>
    <w:p>
      <w:pPr>
        <w:ind w:firstLine="640" w:firstLineChars="200"/>
        <w:rPr>
          <w:rFonts w:hint="eastAsia"/>
          <w:color w:val="000000" w:themeColor="text1"/>
          <w:sz w:val="32"/>
          <w:szCs w:val="32"/>
          <w:shd w:val="clear" w:color="auto" w:fill="FFFFFF"/>
          <w14:textFill>
            <w14:solidFill>
              <w14:schemeClr w14:val="tx1"/>
            </w14:solidFill>
          </w14:textFill>
        </w:rPr>
      </w:pPr>
      <w:r>
        <w:rPr>
          <w:rFonts w:hint="eastAsia" w:ascii="彩虹粗仿宋" w:hAnsi="彩虹粗仿宋" w:eastAsia="彩虹粗仿宋" w:cs="彩虹粗仿宋"/>
          <w:sz w:val="32"/>
          <w:szCs w:val="32"/>
        </w:rPr>
        <w:t>1.投标人具有独立法人资格，具有有效的营业执照。</w:t>
      </w:r>
      <w:r>
        <w:rPr>
          <w:rFonts w:hint="eastAsia"/>
          <w:color w:val="000000" w:themeColor="text1"/>
          <w:sz w:val="32"/>
          <w:szCs w:val="32"/>
          <w:shd w:val="clear" w:color="auto" w:fill="FFFFFF"/>
          <w14:textFill>
            <w14:solidFill>
              <w14:schemeClr w14:val="tx1"/>
            </w14:solidFill>
          </w14:textFill>
        </w:rPr>
        <w:t xml:space="preserve">   </w:t>
      </w:r>
    </w:p>
    <w:p>
      <w:pPr>
        <w:ind w:firstLine="320" w:firstLineChars="100"/>
        <w:rPr>
          <w:rFonts w:hint="eastAsia" w:ascii="彩虹粗仿宋" w:hAnsi="彩虹粗仿宋" w:eastAsia="彩虹粗仿宋" w:cs="彩虹粗仿宋"/>
          <w:color w:val="000000" w:themeColor="text1"/>
          <w:sz w:val="32"/>
          <w:szCs w:val="32"/>
          <w:shd w:val="clear" w:color="auto" w:fill="FFFFFF"/>
          <w14:textFill>
            <w14:solidFill>
              <w14:schemeClr w14:val="tx1"/>
            </w14:solidFill>
          </w14:textFill>
        </w:rPr>
      </w:pPr>
      <w:r>
        <w:rPr>
          <w:rFonts w:hint="eastAsia"/>
          <w:color w:val="000000" w:themeColor="text1"/>
          <w:sz w:val="32"/>
          <w:szCs w:val="32"/>
          <w:shd w:val="clear" w:color="auto" w:fill="FFFFFF"/>
          <w14:textFill>
            <w14:solidFill>
              <w14:schemeClr w14:val="tx1"/>
            </w14:solidFill>
          </w14:textFill>
        </w:rPr>
        <w:t xml:space="preserve"> </w:t>
      </w:r>
      <w:r>
        <w:rPr>
          <w:rFonts w:hint="eastAsia" w:ascii="彩虹粗仿宋" w:hAnsi="彩虹粗仿宋" w:eastAsia="彩虹粗仿宋" w:cs="彩虹粗仿宋"/>
          <w:color w:val="000000" w:themeColor="text1"/>
          <w:sz w:val="32"/>
          <w:szCs w:val="32"/>
          <w:shd w:val="clear" w:color="auto" w:fill="FFFFFF"/>
          <w14:textFill>
            <w14:solidFill>
              <w14:schemeClr w14:val="tx1"/>
            </w14:solidFill>
          </w14:textFill>
        </w:rPr>
        <w:t>2.财务要求：具有良好的商业信誉和健全的财务会计制度，提供2022年-2024年经审计的财务报告</w:t>
      </w:r>
    </w:p>
    <w:p>
      <w:pPr>
        <w:ind w:firstLine="640" w:firstLineChars="200"/>
        <w:rPr>
          <w:rFonts w:ascii="彩虹粗仿宋" w:hAnsi="宋体" w:eastAsia="彩虹粗仿宋"/>
          <w:snapToGrid w:val="0"/>
          <w:color w:val="000000" w:themeColor="text1"/>
          <w:sz w:val="32"/>
          <w:szCs w:val="32"/>
          <w14:textFill>
            <w14:solidFill>
              <w14:schemeClr w14:val="tx1"/>
            </w14:solidFill>
          </w14:textFill>
        </w:rPr>
      </w:pPr>
      <w:r>
        <w:rPr>
          <w:rFonts w:hint="eastAsia" w:ascii="彩虹粗仿宋" w:hAnsi="彩虹粗仿宋" w:eastAsia="彩虹粗仿宋" w:cs="彩虹粗仿宋"/>
          <w:color w:val="000000" w:themeColor="text1"/>
          <w:sz w:val="32"/>
          <w:szCs w:val="32"/>
          <w:shd w:val="clear" w:color="auto" w:fill="FFFFFF"/>
          <w14:textFill>
            <w14:solidFill>
              <w14:schemeClr w14:val="tx1"/>
            </w14:solidFill>
          </w14:textFill>
        </w:rPr>
        <w:t>3.业绩要求：投标人2022年1月1日以来具有河南省</w:t>
      </w:r>
      <w:r>
        <w:rPr>
          <w:rFonts w:hint="eastAsia" w:ascii="彩虹粗仿宋" w:hAnsi="彩虹粗仿宋" w:eastAsia="彩虹粗仿宋" w:cs="彩虹粗仿宋"/>
          <w:color w:val="000000" w:themeColor="text1"/>
          <w:sz w:val="32"/>
          <w:szCs w:val="32"/>
          <w:shd w:val="clear" w:color="auto" w:fill="FFFFFF"/>
          <w:lang w:val="en-US" w:eastAsia="zh-CN"/>
          <w14:textFill>
            <w14:solidFill>
              <w14:schemeClr w14:val="tx1"/>
            </w14:solidFill>
          </w14:textFill>
        </w:rPr>
        <w:t>二甲</w:t>
      </w:r>
      <w:r>
        <w:rPr>
          <w:rFonts w:hint="eastAsia" w:ascii="彩虹粗仿宋" w:hAnsi="彩虹粗仿宋" w:eastAsia="彩虹粗仿宋" w:cs="彩虹粗仿宋"/>
          <w:color w:val="000000" w:themeColor="text1"/>
          <w:sz w:val="32"/>
          <w:szCs w:val="32"/>
          <w:shd w:val="clear" w:color="auto" w:fill="FFFFFF"/>
          <w14:textFill>
            <w14:solidFill>
              <w14:schemeClr w14:val="tx1"/>
            </w14:solidFill>
          </w14:textFill>
        </w:rPr>
        <w:t>医院的</w:t>
      </w:r>
      <w:r>
        <w:rPr>
          <w:rFonts w:hint="eastAsia" w:ascii="彩虹粗仿宋" w:hAnsi="彩虹粗仿宋" w:eastAsia="彩虹粗仿宋" w:cs="彩虹粗仿宋"/>
          <w:color w:val="000000" w:themeColor="text1"/>
          <w:sz w:val="32"/>
          <w:szCs w:val="32"/>
          <w14:textFill>
            <w14:solidFill>
              <w14:schemeClr w14:val="tx1"/>
            </w14:solidFill>
          </w14:textFill>
        </w:rPr>
        <w:t>银行合作类</w:t>
      </w:r>
      <w:r>
        <w:rPr>
          <w:rFonts w:hint="eastAsia" w:ascii="彩虹粗仿宋" w:hAnsi="彩虹粗仿宋" w:eastAsia="彩虹粗仿宋" w:cs="彩虹粗仿宋"/>
          <w:color w:val="000000" w:themeColor="text1"/>
          <w:sz w:val="32"/>
          <w:szCs w:val="32"/>
          <w:shd w:val="clear" w:color="auto" w:fill="FFFFFF"/>
          <w14:textFill>
            <w14:solidFill>
              <w14:schemeClr w14:val="tx1"/>
            </w14:solidFill>
          </w14:textFill>
        </w:rPr>
        <w:t>项目业绩</w:t>
      </w:r>
      <w:r>
        <w:rPr>
          <w:rFonts w:hint="eastAsia" w:ascii="彩虹粗仿宋" w:hAnsi="彩虹粗仿宋" w:eastAsia="彩虹粗仿宋" w:cs="彩虹粗仿宋"/>
          <w:color w:val="000000" w:themeColor="text1"/>
          <w:sz w:val="32"/>
          <w:szCs w:val="32"/>
          <w:shd w:val="clear" w:color="auto" w:fill="FFFFFF"/>
          <w:lang w:eastAsia="zh-CN"/>
          <w14:textFill>
            <w14:solidFill>
              <w14:schemeClr w14:val="tx1"/>
            </w14:solidFill>
          </w14:textFill>
        </w:rPr>
        <w:t>。</w:t>
      </w:r>
      <w:r>
        <w:rPr>
          <w:rFonts w:hint="eastAsia" w:ascii="彩虹粗仿宋" w:hAnsi="彩虹粗仿宋" w:eastAsia="彩虹粗仿宋" w:cs="彩虹粗仿宋"/>
          <w:color w:val="000000" w:themeColor="text1"/>
          <w:sz w:val="32"/>
          <w:szCs w:val="32"/>
          <w:shd w:val="clear" w:color="auto" w:fill="FFFFFF"/>
          <w14:textFill>
            <w14:solidFill>
              <w14:schemeClr w14:val="tx1"/>
            </w14:solidFill>
          </w14:textFill>
        </w:rPr>
        <w:t>（以合同签订日期为准，提供合同扫描件）。</w:t>
      </w:r>
    </w:p>
    <w:p>
      <w:pPr>
        <w:ind w:firstLine="640" w:firstLineChars="200"/>
        <w:rPr>
          <w:rFonts w:hint="eastAsia" w:ascii="彩虹粗仿宋" w:hAnsi="彩虹粗仿宋" w:eastAsia="彩虹粗仿宋" w:cs="彩虹粗仿宋"/>
          <w:color w:val="000000" w:themeColor="text1"/>
          <w:sz w:val="32"/>
          <w:szCs w:val="32"/>
          <w:shd w:val="clear" w:color="auto" w:fill="FFFFFF"/>
          <w14:textFill>
            <w14:solidFill>
              <w14:schemeClr w14:val="tx1"/>
            </w14:solidFill>
          </w14:textFill>
        </w:rPr>
      </w:pPr>
      <w:r>
        <w:rPr>
          <w:rFonts w:hint="eastAsia" w:ascii="彩虹粗仿宋" w:hAnsi="彩虹粗仿宋" w:eastAsia="彩虹粗仿宋" w:cs="彩虹粗仿宋"/>
          <w:color w:val="000000" w:themeColor="text1"/>
          <w:sz w:val="32"/>
          <w:szCs w:val="32"/>
          <w:shd w:val="clear" w:color="auto" w:fill="FFFFFF"/>
          <w14:textFill>
            <w14:solidFill>
              <w14:schemeClr w14:val="tx1"/>
            </w14:solidFill>
          </w14:textFill>
        </w:rPr>
        <w:t>4.</w:t>
      </w:r>
      <w:bookmarkStart w:id="0" w:name="_Hlk164332095"/>
      <w:r>
        <w:rPr>
          <w:rFonts w:hint="eastAsia" w:ascii="彩虹粗仿宋" w:hAnsi="彩虹粗仿宋" w:eastAsia="彩虹粗仿宋" w:cs="彩虹粗仿宋"/>
          <w:color w:val="000000" w:themeColor="text1"/>
          <w:sz w:val="32"/>
          <w:szCs w:val="32"/>
          <w:shd w:val="clear" w:color="auto" w:fill="FFFFFF"/>
          <w14:textFill>
            <w14:solidFill>
              <w14:schemeClr w14:val="tx1"/>
            </w14:solidFill>
          </w14:textFill>
        </w:rPr>
        <w:t>投标人当前未被“信用中国”网站列入重大税收违法失信主体；未被“中国执行信息公开网”列入失信被执行人名单；未被“中国政府采购网”列入政府采购严重违法失信行为记录名单；未被“国家企业信用信息公示系统”网站列入严重违法失信名单（黑名单）；法定代表人未被“中国执行信息公开网”列入失信被执行人名单。查询时间须在本项目招标公告发布日期之后，投标文件中提供查询截图。最终审查依据以招标人或代理机构在开标当日查询结果为准。查询网址：</w:t>
      </w:r>
    </w:p>
    <w:p>
      <w:pPr>
        <w:ind w:firstLine="640" w:firstLineChars="200"/>
        <w:rPr>
          <w:rFonts w:hint="eastAsia" w:ascii="彩虹粗仿宋" w:hAnsi="彩虹粗仿宋" w:eastAsia="彩虹粗仿宋" w:cs="彩虹粗仿宋"/>
          <w:color w:val="000000" w:themeColor="text1"/>
          <w:sz w:val="32"/>
          <w:szCs w:val="32"/>
          <w:shd w:val="clear" w:color="auto" w:fill="FFFFFF"/>
          <w14:textFill>
            <w14:solidFill>
              <w14:schemeClr w14:val="tx1"/>
            </w14:solidFill>
          </w14:textFill>
        </w:rPr>
      </w:pPr>
      <w:r>
        <w:rPr>
          <w:rFonts w:hint="eastAsia" w:ascii="彩虹粗仿宋" w:hAnsi="彩虹粗仿宋" w:eastAsia="彩虹粗仿宋" w:cs="彩虹粗仿宋"/>
          <w:color w:val="000000" w:themeColor="text1"/>
          <w:sz w:val="32"/>
          <w:szCs w:val="32"/>
          <w:shd w:val="clear" w:color="auto" w:fill="FFFFFF"/>
          <w14:textFill>
            <w14:solidFill>
              <w14:schemeClr w14:val="tx1"/>
            </w14:solidFill>
          </w14:textFill>
        </w:rPr>
        <w:t>（1）重大税收违法失信主体名单查询（https://www.creditchina.gov.cn/xinyongfuwu/zhongdashuishouweifaanjian/）；</w:t>
      </w:r>
    </w:p>
    <w:p>
      <w:pPr>
        <w:ind w:firstLine="640" w:firstLineChars="200"/>
        <w:rPr>
          <w:rFonts w:hint="eastAsia" w:ascii="彩虹粗仿宋" w:hAnsi="彩虹粗仿宋" w:eastAsia="彩虹粗仿宋" w:cs="彩虹粗仿宋"/>
          <w:color w:val="000000" w:themeColor="text1"/>
          <w:sz w:val="32"/>
          <w:szCs w:val="32"/>
          <w:shd w:val="clear" w:color="auto" w:fill="FFFFFF"/>
          <w14:textFill>
            <w14:solidFill>
              <w14:schemeClr w14:val="tx1"/>
            </w14:solidFill>
          </w14:textFill>
        </w:rPr>
      </w:pPr>
      <w:r>
        <w:rPr>
          <w:rFonts w:hint="eastAsia" w:ascii="彩虹粗仿宋" w:hAnsi="彩虹粗仿宋" w:eastAsia="彩虹粗仿宋" w:cs="彩虹粗仿宋"/>
          <w:color w:val="000000" w:themeColor="text1"/>
          <w:sz w:val="32"/>
          <w:szCs w:val="32"/>
          <w:shd w:val="clear" w:color="auto" w:fill="FFFFFF"/>
          <w14:textFill>
            <w14:solidFill>
              <w14:schemeClr w14:val="tx1"/>
            </w14:solidFill>
          </w14:textFill>
        </w:rPr>
        <w:t>（2）全国法院失信被执行人查询（法人或其他组织）（http://zxgk.court.gov.cn/shixin/）；</w:t>
      </w:r>
    </w:p>
    <w:p>
      <w:pPr>
        <w:ind w:firstLine="640" w:firstLineChars="200"/>
        <w:rPr>
          <w:rFonts w:hint="eastAsia" w:ascii="彩虹粗仿宋" w:hAnsi="彩虹粗仿宋" w:eastAsia="彩虹粗仿宋" w:cs="彩虹粗仿宋"/>
          <w:color w:val="000000" w:themeColor="text1"/>
          <w:sz w:val="32"/>
          <w:szCs w:val="32"/>
          <w:shd w:val="clear" w:color="auto" w:fill="FFFFFF"/>
          <w14:textFill>
            <w14:solidFill>
              <w14:schemeClr w14:val="tx1"/>
            </w14:solidFill>
          </w14:textFill>
        </w:rPr>
      </w:pPr>
      <w:r>
        <w:rPr>
          <w:rFonts w:hint="eastAsia" w:ascii="彩虹粗仿宋" w:hAnsi="彩虹粗仿宋" w:eastAsia="彩虹粗仿宋" w:cs="彩虹粗仿宋"/>
          <w:color w:val="000000" w:themeColor="text1"/>
          <w:sz w:val="32"/>
          <w:szCs w:val="32"/>
          <w:shd w:val="clear" w:color="auto" w:fill="FFFFFF"/>
          <w14:textFill>
            <w14:solidFill>
              <w14:schemeClr w14:val="tx1"/>
            </w14:solidFill>
          </w14:textFill>
        </w:rPr>
        <w:t>（3）政府采购严重违法失信行为记录名单查询（http://www.ccgp.gov.cn/search/cr/）；</w:t>
      </w:r>
    </w:p>
    <w:p>
      <w:pPr>
        <w:ind w:firstLine="640" w:firstLineChars="200"/>
        <w:rPr>
          <w:rFonts w:hint="eastAsia" w:ascii="彩虹粗仿宋" w:hAnsi="彩虹粗仿宋" w:eastAsia="彩虹粗仿宋" w:cs="彩虹粗仿宋"/>
          <w:color w:val="000000" w:themeColor="text1"/>
          <w:sz w:val="32"/>
          <w:szCs w:val="32"/>
          <w:shd w:val="clear" w:color="auto" w:fill="FFFFFF"/>
          <w:lang w:eastAsia="zh-CN"/>
          <w14:textFill>
            <w14:solidFill>
              <w14:schemeClr w14:val="tx1"/>
            </w14:solidFill>
          </w14:textFill>
        </w:rPr>
      </w:pPr>
      <w:r>
        <w:rPr>
          <w:rFonts w:hint="eastAsia" w:ascii="彩虹粗仿宋" w:hAnsi="彩虹粗仿宋" w:eastAsia="彩虹粗仿宋" w:cs="彩虹粗仿宋"/>
          <w:color w:val="000000" w:themeColor="text1"/>
          <w:sz w:val="32"/>
          <w:szCs w:val="32"/>
          <w:shd w:val="clear" w:color="auto" w:fill="FFFFFF"/>
          <w14:textFill>
            <w14:solidFill>
              <w14:schemeClr w14:val="tx1"/>
            </w14:solidFill>
          </w14:textFill>
        </w:rPr>
        <w:t>（4）严重违法失信名单查询（http://www.gsxt.gov.cn/index.html）。</w:t>
      </w:r>
      <w:bookmarkEnd w:id="0"/>
    </w:p>
    <w:p>
      <w:pPr>
        <w:ind w:firstLine="640" w:firstLineChars="200"/>
        <w:rPr>
          <w:rFonts w:hint="eastAsia" w:ascii="彩虹粗仿宋" w:hAnsi="宋体" w:eastAsia="彩虹粗仿宋"/>
          <w:snapToGrid w:val="0"/>
          <w:color w:val="auto"/>
          <w:sz w:val="32"/>
          <w:szCs w:val="32"/>
        </w:rPr>
      </w:pPr>
      <w:r>
        <w:rPr>
          <w:rFonts w:hint="eastAsia" w:ascii="彩虹粗仿宋" w:hAnsi="宋体" w:eastAsia="彩虹粗仿宋"/>
          <w:snapToGrid w:val="0"/>
          <w:color w:val="000000" w:themeColor="text1"/>
          <w:sz w:val="32"/>
          <w:szCs w:val="32"/>
          <w:lang w:val="en-US" w:eastAsia="zh-CN"/>
          <w14:textFill>
            <w14:solidFill>
              <w14:schemeClr w14:val="tx1"/>
            </w14:solidFill>
          </w14:textFill>
        </w:rPr>
        <w:t>5</w:t>
      </w:r>
      <w:r>
        <w:rPr>
          <w:rFonts w:hint="eastAsia" w:ascii="彩虹粗仿宋" w:hAnsi="宋体" w:eastAsia="彩虹粗仿宋"/>
          <w:snapToGrid w:val="0"/>
          <w:color w:val="auto"/>
          <w:sz w:val="32"/>
          <w:szCs w:val="32"/>
        </w:rPr>
        <w:t>.专业资质：投标人需要具备以下证书：</w:t>
      </w:r>
    </w:p>
    <w:p>
      <w:pPr>
        <w:ind w:firstLine="640" w:firstLineChars="200"/>
        <w:rPr>
          <w:rFonts w:hint="eastAsia" w:ascii="彩虹粗仿宋" w:hAnsi="宋体" w:eastAsia="彩虹粗仿宋"/>
          <w:snapToGrid w:val="0"/>
          <w:color w:val="auto"/>
          <w:sz w:val="32"/>
          <w:szCs w:val="32"/>
        </w:rPr>
      </w:pPr>
      <w:r>
        <w:rPr>
          <w:rFonts w:hint="eastAsia" w:ascii="彩虹粗仿宋" w:hAnsi="宋体" w:eastAsia="彩虹粗仿宋"/>
          <w:snapToGrid w:val="0"/>
          <w:color w:val="auto"/>
          <w:sz w:val="32"/>
          <w:szCs w:val="32"/>
        </w:rPr>
        <w:t>（1）软件企业证书</w:t>
      </w:r>
    </w:p>
    <w:p>
      <w:pPr>
        <w:ind w:firstLine="640" w:firstLineChars="200"/>
        <w:rPr>
          <w:rFonts w:hint="eastAsia" w:ascii="彩虹粗仿宋" w:hAnsi="宋体" w:eastAsia="彩虹粗仿宋"/>
          <w:snapToGrid w:val="0"/>
          <w:color w:val="auto"/>
          <w:sz w:val="32"/>
          <w:szCs w:val="32"/>
        </w:rPr>
      </w:pPr>
      <w:r>
        <w:rPr>
          <w:rFonts w:hint="eastAsia" w:ascii="彩虹粗仿宋" w:hAnsi="宋体" w:eastAsia="彩虹粗仿宋"/>
          <w:snapToGrid w:val="0"/>
          <w:color w:val="auto"/>
          <w:sz w:val="32"/>
          <w:szCs w:val="32"/>
        </w:rPr>
        <w:t>（2）相关软件产品证书</w:t>
      </w:r>
    </w:p>
    <w:p>
      <w:pPr>
        <w:ind w:firstLine="640" w:firstLineChars="200"/>
        <w:rPr>
          <w:rFonts w:hint="eastAsia" w:ascii="彩虹粗仿宋" w:hAnsi="宋体" w:eastAsia="彩虹粗仿宋"/>
          <w:snapToGrid w:val="0"/>
          <w:color w:val="auto"/>
          <w:sz w:val="32"/>
          <w:szCs w:val="32"/>
        </w:rPr>
      </w:pPr>
      <w:r>
        <w:rPr>
          <w:rFonts w:hint="eastAsia" w:ascii="彩虹粗仿宋" w:hAnsi="宋体" w:eastAsia="彩虹粗仿宋"/>
          <w:snapToGrid w:val="0"/>
          <w:color w:val="auto"/>
          <w:sz w:val="32"/>
          <w:szCs w:val="32"/>
        </w:rPr>
        <w:t>（3）信息安全管理体系证书</w:t>
      </w:r>
    </w:p>
    <w:p>
      <w:pPr>
        <w:ind w:firstLine="640" w:firstLineChars="200"/>
        <w:rPr>
          <w:rFonts w:hint="eastAsia" w:ascii="彩虹粗仿宋" w:hAnsi="宋体" w:eastAsia="彩虹粗仿宋"/>
          <w:snapToGrid w:val="0"/>
          <w:color w:val="auto"/>
          <w:sz w:val="32"/>
          <w:szCs w:val="32"/>
        </w:rPr>
      </w:pPr>
      <w:r>
        <w:rPr>
          <w:rFonts w:hint="eastAsia" w:ascii="彩虹粗仿宋" w:hAnsi="宋体" w:eastAsia="彩虹粗仿宋"/>
          <w:snapToGrid w:val="0"/>
          <w:color w:val="auto"/>
          <w:sz w:val="32"/>
          <w:szCs w:val="32"/>
        </w:rPr>
        <w:t>（4）节能产品认证证书</w:t>
      </w:r>
    </w:p>
    <w:p>
      <w:pPr>
        <w:ind w:firstLine="640" w:firstLineChars="200"/>
        <w:rPr>
          <w:rFonts w:hint="eastAsia" w:ascii="彩虹粗仿宋" w:hAnsi="宋体" w:eastAsia="彩虹粗仿宋"/>
          <w:snapToGrid w:val="0"/>
          <w:color w:val="auto"/>
          <w:sz w:val="32"/>
          <w:szCs w:val="32"/>
        </w:rPr>
      </w:pPr>
      <w:r>
        <w:rPr>
          <w:rFonts w:hint="eastAsia" w:ascii="彩虹粗仿宋" w:hAnsi="宋体" w:eastAsia="彩虹粗仿宋"/>
          <w:snapToGrid w:val="0"/>
          <w:color w:val="auto"/>
          <w:sz w:val="32"/>
          <w:szCs w:val="32"/>
        </w:rPr>
        <w:t>（5）环境管理体系证书</w:t>
      </w:r>
    </w:p>
    <w:p>
      <w:pPr>
        <w:ind w:firstLine="640" w:firstLineChars="200"/>
        <w:rPr>
          <w:rFonts w:hint="eastAsia" w:ascii="彩虹粗仿宋" w:hAnsi="宋体" w:eastAsia="彩虹粗仿宋"/>
          <w:snapToGrid w:val="0"/>
          <w:color w:val="auto"/>
          <w:sz w:val="32"/>
          <w:szCs w:val="32"/>
        </w:rPr>
      </w:pPr>
      <w:r>
        <w:rPr>
          <w:rFonts w:hint="eastAsia" w:ascii="彩虹粗仿宋" w:hAnsi="宋体" w:eastAsia="彩虹粗仿宋"/>
          <w:snapToGrid w:val="0"/>
          <w:color w:val="auto"/>
          <w:sz w:val="32"/>
          <w:szCs w:val="32"/>
        </w:rPr>
        <w:t>（6）质量体系管理证书</w:t>
      </w:r>
    </w:p>
    <w:p>
      <w:pPr>
        <w:ind w:firstLine="640" w:firstLineChars="200"/>
        <w:rPr>
          <w:rFonts w:hint="eastAsia" w:ascii="彩虹粗仿宋" w:hAnsi="宋体" w:eastAsia="彩虹粗仿宋"/>
          <w:snapToGrid w:val="0"/>
          <w:color w:val="auto"/>
          <w:sz w:val="32"/>
          <w:szCs w:val="32"/>
        </w:rPr>
      </w:pPr>
      <w:r>
        <w:rPr>
          <w:rFonts w:hint="eastAsia" w:ascii="彩虹粗仿宋" w:hAnsi="宋体" w:eastAsia="彩虹粗仿宋"/>
          <w:snapToGrid w:val="0"/>
          <w:color w:val="auto"/>
          <w:sz w:val="32"/>
          <w:szCs w:val="32"/>
        </w:rPr>
        <w:t>（7）职业健康安全管理体系证书</w:t>
      </w:r>
    </w:p>
    <w:p>
      <w:pPr>
        <w:ind w:firstLine="640" w:firstLineChars="200"/>
        <w:rPr>
          <w:rFonts w:hint="eastAsia" w:ascii="彩虹粗仿宋" w:hAnsi="宋体" w:eastAsia="彩虹粗仿宋"/>
          <w:snapToGrid w:val="0"/>
          <w:color w:val="auto"/>
          <w:sz w:val="32"/>
          <w:szCs w:val="32"/>
        </w:rPr>
      </w:pPr>
      <w:r>
        <w:rPr>
          <w:rFonts w:hint="eastAsia" w:ascii="彩虹粗仿宋" w:hAnsi="宋体" w:eastAsia="彩虹粗仿宋"/>
          <w:snapToGrid w:val="0"/>
          <w:color w:val="auto"/>
          <w:sz w:val="32"/>
          <w:szCs w:val="32"/>
        </w:rPr>
        <w:t>（8）自助设备3C 认证证书</w:t>
      </w:r>
    </w:p>
    <w:p>
      <w:pPr>
        <w:ind w:firstLine="640" w:firstLineChars="200"/>
        <w:rPr>
          <w:rFonts w:hint="eastAsia" w:ascii="彩虹粗仿宋" w:hAnsi="宋体" w:eastAsia="彩虹粗仿宋"/>
          <w:snapToGrid w:val="0"/>
          <w:color w:val="auto"/>
          <w:sz w:val="32"/>
          <w:szCs w:val="32"/>
        </w:rPr>
      </w:pPr>
      <w:r>
        <w:rPr>
          <w:rFonts w:hint="eastAsia" w:ascii="彩虹粗仿宋" w:hAnsi="宋体" w:eastAsia="彩虹粗仿宋"/>
          <w:snapToGrid w:val="0"/>
          <w:color w:val="auto"/>
          <w:sz w:val="32"/>
          <w:szCs w:val="32"/>
        </w:rPr>
        <w:t>（9）相关软件著作权证书</w:t>
      </w:r>
    </w:p>
    <w:p>
      <w:pPr>
        <w:ind w:firstLine="640" w:firstLineChars="200"/>
        <w:rPr>
          <w:rFonts w:ascii="彩虹粗仿宋" w:hAnsi="宋体" w:eastAsia="彩虹粗仿宋"/>
          <w:snapToGrid w:val="0"/>
          <w:color w:val="auto"/>
          <w:sz w:val="32"/>
          <w:szCs w:val="32"/>
        </w:rPr>
      </w:pPr>
      <w:r>
        <w:rPr>
          <w:rFonts w:hint="eastAsia" w:ascii="彩虹粗仿宋" w:hAnsi="宋体" w:eastAsia="彩虹粗仿宋"/>
          <w:snapToGrid w:val="0"/>
          <w:color w:val="auto"/>
          <w:sz w:val="32"/>
          <w:szCs w:val="32"/>
        </w:rPr>
        <w:t>（10）企业信用等级证书。</w:t>
      </w:r>
    </w:p>
    <w:p>
      <w:pPr>
        <w:spacing w:line="560" w:lineRule="exact"/>
        <w:ind w:firstLine="640" w:firstLineChars="200"/>
        <w:rPr>
          <w:rFonts w:ascii="彩虹粗仿宋" w:hAnsi="宋体" w:eastAsia="彩虹粗仿宋"/>
          <w:snapToGrid w:val="0"/>
          <w:color w:val="auto"/>
          <w:sz w:val="32"/>
          <w:szCs w:val="32"/>
        </w:rPr>
      </w:pPr>
      <w:r>
        <w:rPr>
          <w:rFonts w:hint="eastAsia" w:ascii="彩虹粗仿宋" w:hAnsi="宋体" w:eastAsia="彩虹粗仿宋"/>
          <w:snapToGrid w:val="0"/>
          <w:color w:val="auto"/>
          <w:sz w:val="32"/>
          <w:szCs w:val="32"/>
          <w:lang w:val="en-US" w:eastAsia="zh-CN"/>
        </w:rPr>
        <w:t>6</w:t>
      </w:r>
      <w:r>
        <w:rPr>
          <w:rFonts w:hint="eastAsia" w:ascii="彩虹粗仿宋" w:hAnsi="宋体" w:eastAsia="彩虹粗仿宋"/>
          <w:snapToGrid w:val="0"/>
          <w:color w:val="auto"/>
          <w:sz w:val="32"/>
          <w:szCs w:val="32"/>
        </w:rPr>
        <w:t>.其他要求：</w:t>
      </w:r>
    </w:p>
    <w:p>
      <w:pPr>
        <w:spacing w:line="560" w:lineRule="exact"/>
        <w:ind w:firstLine="640" w:firstLineChars="200"/>
        <w:rPr>
          <w:rFonts w:ascii="彩虹粗仿宋" w:hAnsi="宋体" w:eastAsia="彩虹粗仿宋"/>
          <w:snapToGrid w:val="0"/>
          <w:color w:val="000000" w:themeColor="text1"/>
          <w:sz w:val="32"/>
          <w:szCs w:val="32"/>
          <w14:textFill>
            <w14:solidFill>
              <w14:schemeClr w14:val="tx1"/>
            </w14:solidFill>
          </w14:textFill>
        </w:rPr>
      </w:pPr>
      <w:r>
        <w:rPr>
          <w:rFonts w:hint="eastAsia" w:ascii="彩虹粗仿宋" w:hAnsi="宋体" w:eastAsia="彩虹粗仿宋"/>
          <w:snapToGrid w:val="0"/>
          <w:color w:val="000000" w:themeColor="text1"/>
          <w:sz w:val="32"/>
          <w:szCs w:val="32"/>
          <w14:textFill>
            <w14:solidFill>
              <w14:schemeClr w14:val="tx1"/>
            </w14:solidFill>
          </w14:textFill>
        </w:rPr>
        <w:t>（1）近三年内在经营活动中没有重大违法、违纪行为（提供承诺书，格式自拟）。</w:t>
      </w:r>
    </w:p>
    <w:p>
      <w:pPr>
        <w:spacing w:line="560" w:lineRule="exact"/>
        <w:ind w:firstLine="640" w:firstLineChars="200"/>
        <w:rPr>
          <w:rFonts w:ascii="彩虹粗仿宋" w:hAnsi="宋体" w:eastAsia="彩虹粗仿宋"/>
          <w:snapToGrid w:val="0"/>
          <w:color w:val="000000" w:themeColor="text1"/>
          <w:sz w:val="32"/>
          <w:szCs w:val="32"/>
          <w14:textFill>
            <w14:solidFill>
              <w14:schemeClr w14:val="tx1"/>
            </w14:solidFill>
          </w14:textFill>
        </w:rPr>
      </w:pPr>
      <w:r>
        <w:rPr>
          <w:rFonts w:hint="eastAsia" w:ascii="彩虹粗仿宋" w:hAnsi="宋体" w:eastAsia="彩虹粗仿宋"/>
          <w:snapToGrid w:val="0"/>
          <w:color w:val="000000" w:themeColor="text1"/>
          <w:sz w:val="32"/>
          <w:szCs w:val="32"/>
          <w14:textFill>
            <w14:solidFill>
              <w14:schemeClr w14:val="tx1"/>
            </w14:solidFill>
          </w14:textFill>
        </w:rPr>
        <w:t>（2）投标人与建设银行不存在利益冲突，不存在损害建设银行合法利益和声誉的情形，不存在针对建设银行的重大诚信问题。</w:t>
      </w:r>
    </w:p>
    <w:p>
      <w:pPr>
        <w:spacing w:line="560" w:lineRule="exact"/>
        <w:ind w:firstLine="640" w:firstLineChars="200"/>
        <w:rPr>
          <w:rFonts w:ascii="彩虹粗仿宋" w:hAnsi="宋体" w:eastAsia="彩虹粗仿宋"/>
          <w:snapToGrid w:val="0"/>
          <w:color w:val="000000" w:themeColor="text1"/>
          <w:sz w:val="32"/>
          <w:szCs w:val="32"/>
          <w14:textFill>
            <w14:solidFill>
              <w14:schemeClr w14:val="tx1"/>
            </w14:solidFill>
          </w14:textFill>
        </w:rPr>
      </w:pPr>
      <w:r>
        <w:rPr>
          <w:rFonts w:hint="eastAsia" w:ascii="彩虹粗仿宋" w:hAnsi="宋体" w:eastAsia="彩虹粗仿宋"/>
          <w:snapToGrid w:val="0"/>
          <w:color w:val="000000" w:themeColor="text1"/>
          <w:sz w:val="32"/>
          <w:szCs w:val="32"/>
          <w14:textFill>
            <w14:solidFill>
              <w14:schemeClr w14:val="tx1"/>
            </w14:solidFill>
          </w14:textFill>
        </w:rPr>
        <w:t>（3）法定代表人为同一人或者存在控股、管理关系的不同投标人（包含法定代表人为同一个人的两个及两个以上法人，母公司、全资子公司及其控股公司），不得同时参加本项目投标。</w:t>
      </w:r>
    </w:p>
    <w:p>
      <w:pPr>
        <w:spacing w:line="560" w:lineRule="exact"/>
        <w:ind w:firstLine="640" w:firstLineChars="200"/>
        <w:rPr>
          <w:rFonts w:ascii="彩虹粗仿宋" w:hAnsi="宋体" w:eastAsia="彩虹粗仿宋"/>
          <w:snapToGrid w:val="0"/>
          <w:color w:val="000000" w:themeColor="text1"/>
          <w:sz w:val="32"/>
          <w:szCs w:val="32"/>
          <w14:textFill>
            <w14:solidFill>
              <w14:schemeClr w14:val="tx1"/>
            </w14:solidFill>
          </w14:textFill>
        </w:rPr>
      </w:pPr>
      <w:r>
        <w:rPr>
          <w:rFonts w:hint="eastAsia" w:ascii="彩虹粗仿宋" w:hAnsi="宋体" w:eastAsia="彩虹粗仿宋"/>
          <w:snapToGrid w:val="0"/>
          <w:color w:val="000000" w:themeColor="text1"/>
          <w:sz w:val="32"/>
          <w:szCs w:val="32"/>
          <w14:textFill>
            <w14:solidFill>
              <w14:schemeClr w14:val="tx1"/>
            </w14:solidFill>
          </w14:textFill>
        </w:rPr>
        <w:t>（4）投标人参加招标活动时未被列入中国建设银行投标人禁用或退出名单中，在中国建设银行龙集采平台上无重大风险预警提示（以招标人查询结果为准）或其他不良行为。</w:t>
      </w:r>
    </w:p>
    <w:p>
      <w:pPr>
        <w:spacing w:line="560" w:lineRule="exact"/>
        <w:ind w:firstLine="640" w:firstLineChars="200"/>
        <w:rPr>
          <w:rFonts w:ascii="彩虹粗仿宋" w:hAnsi="宋体" w:eastAsia="彩虹粗仿宋"/>
          <w:snapToGrid w:val="0"/>
          <w:color w:val="000000" w:themeColor="text1"/>
          <w:sz w:val="32"/>
          <w:szCs w:val="32"/>
          <w14:textFill>
            <w14:solidFill>
              <w14:schemeClr w14:val="tx1"/>
            </w14:solidFill>
          </w14:textFill>
        </w:rPr>
      </w:pPr>
      <w:r>
        <w:rPr>
          <w:rFonts w:hint="eastAsia" w:ascii="彩虹粗仿宋" w:hAnsi="宋体" w:eastAsia="彩虹粗仿宋"/>
          <w:snapToGrid w:val="0"/>
          <w:color w:val="000000" w:themeColor="text1"/>
          <w:sz w:val="32"/>
          <w:szCs w:val="32"/>
          <w:lang w:val="en-US" w:eastAsia="zh-CN"/>
          <w14:textFill>
            <w14:solidFill>
              <w14:schemeClr w14:val="tx1"/>
            </w14:solidFill>
          </w14:textFill>
        </w:rPr>
        <w:t>7</w:t>
      </w:r>
      <w:r>
        <w:rPr>
          <w:rFonts w:hint="eastAsia" w:ascii="彩虹粗仿宋" w:hAnsi="宋体" w:eastAsia="彩虹粗仿宋"/>
          <w:snapToGrid w:val="0"/>
          <w:color w:val="000000" w:themeColor="text1"/>
          <w:sz w:val="32"/>
          <w:szCs w:val="32"/>
          <w14:textFill>
            <w14:solidFill>
              <w14:schemeClr w14:val="tx1"/>
            </w14:solidFill>
          </w14:textFill>
        </w:rPr>
        <w:t>.本项目不接受联合体报名。</w:t>
      </w:r>
    </w:p>
    <w:p>
      <w:pPr>
        <w:spacing w:line="560" w:lineRule="exact"/>
        <w:ind w:firstLine="640" w:firstLineChars="200"/>
        <w:rPr>
          <w:rFonts w:hint="eastAsia" w:ascii="彩虹黑体" w:hAnsi="彩虹黑体" w:eastAsia="彩虹黑体" w:cs="彩虹黑体"/>
          <w:snapToGrid w:val="0"/>
          <w:color w:val="000000" w:themeColor="text1"/>
          <w:sz w:val="32"/>
          <w:szCs w:val="32"/>
          <w14:textFill>
            <w14:solidFill>
              <w14:schemeClr w14:val="tx1"/>
            </w14:solidFill>
          </w14:textFill>
        </w:rPr>
      </w:pPr>
      <w:r>
        <w:rPr>
          <w:rFonts w:hint="eastAsia" w:ascii="彩虹黑体" w:hAnsi="彩虹黑体" w:eastAsia="彩虹黑体" w:cs="彩虹黑体"/>
          <w:snapToGrid w:val="0"/>
          <w:color w:val="000000" w:themeColor="text1"/>
          <w:sz w:val="32"/>
          <w:szCs w:val="32"/>
          <w14:textFill>
            <w14:solidFill>
              <w14:schemeClr w14:val="tx1"/>
            </w14:solidFill>
          </w14:textFill>
        </w:rPr>
        <w:t>二、</w:t>
      </w:r>
      <w:r>
        <w:rPr>
          <w:rFonts w:hint="eastAsia" w:ascii="彩虹黑体" w:hAnsi="彩虹黑体" w:eastAsia="彩虹黑体" w:cs="彩虹黑体"/>
          <w:snapToGrid w:val="0"/>
          <w:color w:val="000000" w:themeColor="text1"/>
          <w:sz w:val="32"/>
          <w:szCs w:val="32"/>
          <w:lang w:eastAsia="zh-CN"/>
          <w14:textFill>
            <w14:solidFill>
              <w14:schemeClr w14:val="tx1"/>
            </w14:solidFill>
          </w14:textFill>
        </w:rPr>
        <w:t>系统运维服务质量</w:t>
      </w:r>
      <w:r>
        <w:rPr>
          <w:rFonts w:hint="eastAsia" w:ascii="彩虹黑体" w:hAnsi="彩虹黑体" w:eastAsia="彩虹黑体" w:cs="彩虹黑体"/>
          <w:snapToGrid w:val="0"/>
          <w:color w:val="000000" w:themeColor="text1"/>
          <w:sz w:val="32"/>
          <w:szCs w:val="32"/>
          <w14:textFill>
            <w14:solidFill>
              <w14:schemeClr w14:val="tx1"/>
            </w14:solidFill>
          </w14:textFill>
        </w:rPr>
        <w:t>要求</w:t>
      </w:r>
    </w:p>
    <w:p>
      <w:pPr>
        <w:spacing w:line="560" w:lineRule="exact"/>
        <w:ind w:firstLine="640" w:firstLineChars="200"/>
        <w:rPr>
          <w:rFonts w:hint="eastAsia" w:ascii="彩虹粗仿宋" w:hAnsi="宋体" w:eastAsia="彩虹粗仿宋"/>
          <w:snapToGrid w:val="0"/>
          <w:color w:val="000000" w:themeColor="text1"/>
          <w:sz w:val="32"/>
          <w:szCs w:val="32"/>
          <w:lang w:val="en-US" w:eastAsia="zh-CN"/>
          <w14:textFill>
            <w14:solidFill>
              <w14:schemeClr w14:val="tx1"/>
            </w14:solidFill>
          </w14:textFill>
        </w:rPr>
      </w:pPr>
      <w:r>
        <w:rPr>
          <w:rFonts w:hint="eastAsia" w:ascii="彩虹粗仿宋" w:hAnsi="宋体" w:eastAsia="彩虹粗仿宋"/>
          <w:snapToGrid w:val="0"/>
          <w:color w:val="000000" w:themeColor="text1"/>
          <w:sz w:val="32"/>
          <w:szCs w:val="32"/>
          <w:lang w:val="en-US" w:eastAsia="zh-CN"/>
          <w14:textFill>
            <w14:solidFill>
              <w14:schemeClr w14:val="tx1"/>
            </w14:solidFill>
          </w14:textFill>
        </w:rPr>
        <w:t>1、可用性：该系统的主要功能是医院的综合支付管理，牵涉到医院患者就诊时的支付结算和后台数据管理以及财务对账，所以要求系统运行稳定，不能出现系统中断，要保证系统交易数据的正确性，保证错账处理的及时性和便捷性。</w:t>
      </w:r>
    </w:p>
    <w:p>
      <w:pPr>
        <w:spacing w:line="560" w:lineRule="exact"/>
        <w:ind w:firstLine="640" w:firstLineChars="200"/>
        <w:rPr>
          <w:rFonts w:hint="eastAsia" w:ascii="彩虹粗仿宋" w:hAnsi="宋体" w:eastAsia="彩虹粗仿宋"/>
          <w:snapToGrid w:val="0"/>
          <w:color w:val="000000" w:themeColor="text1"/>
          <w:sz w:val="32"/>
          <w:szCs w:val="32"/>
          <w:lang w:val="en-US" w:eastAsia="zh-CN"/>
          <w14:textFill>
            <w14:solidFill>
              <w14:schemeClr w14:val="tx1"/>
            </w14:solidFill>
          </w14:textFill>
        </w:rPr>
      </w:pPr>
      <w:r>
        <w:rPr>
          <w:rFonts w:hint="eastAsia" w:ascii="彩虹粗仿宋" w:hAnsi="宋体" w:eastAsia="彩虹粗仿宋"/>
          <w:snapToGrid w:val="0"/>
          <w:color w:val="000000" w:themeColor="text1"/>
          <w:sz w:val="32"/>
          <w:szCs w:val="32"/>
          <w:lang w:val="en-US" w:eastAsia="zh-CN"/>
          <w14:textFill>
            <w14:solidFill>
              <w14:schemeClr w14:val="tx1"/>
            </w14:solidFill>
          </w14:textFill>
        </w:rPr>
        <w:t>2、时效性：综合支付管理系统为医院的主要收费系统，是医院保证正常医疗活动的重要收费渠道，当系统出现故障时要求厂商第一时间做出反应和给出解决办法，售后服务要求具有明确的时效性和可操作性，具体明确的解决方案和可替代方案。</w:t>
      </w:r>
    </w:p>
    <w:p>
      <w:pPr>
        <w:spacing w:line="560" w:lineRule="exact"/>
        <w:ind w:firstLine="640" w:firstLineChars="200"/>
        <w:rPr>
          <w:rFonts w:hint="eastAsia" w:ascii="彩虹粗仿宋" w:hAnsi="宋体" w:eastAsia="彩虹粗仿宋"/>
          <w:snapToGrid w:val="0"/>
          <w:color w:val="000000" w:themeColor="text1"/>
          <w:sz w:val="32"/>
          <w:szCs w:val="32"/>
          <w:lang w:val="en-US" w:eastAsia="zh-CN"/>
          <w14:textFill>
            <w14:solidFill>
              <w14:schemeClr w14:val="tx1"/>
            </w14:solidFill>
          </w14:textFill>
        </w:rPr>
      </w:pPr>
      <w:r>
        <w:rPr>
          <w:rFonts w:hint="eastAsia" w:ascii="彩虹粗仿宋" w:hAnsi="宋体" w:eastAsia="彩虹粗仿宋"/>
          <w:snapToGrid w:val="0"/>
          <w:color w:val="000000" w:themeColor="text1"/>
          <w:sz w:val="32"/>
          <w:szCs w:val="32"/>
          <w:lang w:val="en-US" w:eastAsia="zh-CN"/>
          <w14:textFill>
            <w14:solidFill>
              <w14:schemeClr w14:val="tx1"/>
            </w14:solidFill>
          </w14:textFill>
        </w:rPr>
        <w:t>3、规范性：系统具有明确的操作规范，任何操作系统的部门和个人都应该严格按照操作规范进行操作，不允许跨权限进行越权操作，要求操作流程标准化、变更管控评估制度化、权限管理最小化充分保证系统的规范正常运行。</w:t>
      </w:r>
    </w:p>
    <w:p>
      <w:pPr>
        <w:spacing w:line="560" w:lineRule="exact"/>
        <w:ind w:firstLine="640" w:firstLineChars="200"/>
        <w:rPr>
          <w:rFonts w:hint="eastAsia" w:ascii="彩虹粗仿宋" w:hAnsi="宋体" w:eastAsia="彩虹粗仿宋"/>
          <w:snapToGrid w:val="0"/>
          <w:color w:val="000000" w:themeColor="text1"/>
          <w:sz w:val="32"/>
          <w:szCs w:val="32"/>
          <w:lang w:val="en-US" w:eastAsia="zh-CN"/>
          <w14:textFill>
            <w14:solidFill>
              <w14:schemeClr w14:val="tx1"/>
            </w14:solidFill>
          </w14:textFill>
        </w:rPr>
      </w:pPr>
      <w:r>
        <w:rPr>
          <w:rFonts w:hint="eastAsia" w:ascii="彩虹粗仿宋" w:hAnsi="宋体" w:eastAsia="彩虹粗仿宋"/>
          <w:snapToGrid w:val="0"/>
          <w:color w:val="000000" w:themeColor="text1"/>
          <w:sz w:val="32"/>
          <w:szCs w:val="32"/>
          <w:lang w:val="en-US" w:eastAsia="zh-CN"/>
          <w14:textFill>
            <w14:solidFill>
              <w14:schemeClr w14:val="tx1"/>
            </w14:solidFill>
          </w14:textFill>
        </w:rPr>
        <w:t>4、监控和预警：系统出现运行故障时要能第一时间提示告警，设立可行的监控和巡检机制，按月、按季度对系统进行定期巡检和不定期抽查，及时发现问题及时处理。</w:t>
      </w:r>
    </w:p>
    <w:p>
      <w:pPr>
        <w:spacing w:line="560" w:lineRule="exact"/>
        <w:ind w:firstLine="640" w:firstLineChars="200"/>
        <w:rPr>
          <w:rFonts w:ascii="彩虹粗仿宋" w:hAnsi="宋体" w:eastAsia="彩虹粗仿宋"/>
          <w:snapToGrid w:val="0"/>
          <w:color w:val="000000" w:themeColor="text1"/>
          <w:sz w:val="32"/>
          <w:szCs w:val="32"/>
          <w14:textFill>
            <w14:solidFill>
              <w14:schemeClr w14:val="tx1"/>
            </w14:solidFill>
          </w14:textFill>
        </w:rPr>
      </w:pPr>
      <w:r>
        <w:rPr>
          <w:rFonts w:hint="eastAsia" w:ascii="彩虹粗仿宋" w:hAnsi="宋体" w:eastAsia="彩虹粗仿宋"/>
          <w:snapToGrid w:val="0"/>
          <w:color w:val="000000" w:themeColor="text1"/>
          <w:sz w:val="32"/>
          <w:szCs w:val="32"/>
          <w:lang w:val="en-US" w:eastAsia="zh-CN"/>
          <w14:textFill>
            <w14:solidFill>
              <w14:schemeClr w14:val="tx1"/>
            </w14:solidFill>
          </w14:textFill>
        </w:rPr>
        <w:t>5、安全性：遵循相关安全标准和规范，遵守医院等保级别要求；实施安全防护措施；对数据进行加密处理，保护用户隐私和敏感信息等。</w:t>
      </w:r>
    </w:p>
    <w:p>
      <w:pPr>
        <w:spacing w:line="560" w:lineRule="exact"/>
        <w:ind w:firstLine="640" w:firstLineChars="200"/>
        <w:rPr>
          <w:rFonts w:hint="eastAsia" w:ascii="彩虹黑体" w:hAnsi="宋体" w:eastAsia="彩虹黑体" w:cs="Times New Roman"/>
          <w:snapToGrid w:val="0"/>
          <w:color w:val="000000" w:themeColor="text1"/>
          <w:kern w:val="0"/>
          <w:sz w:val="32"/>
          <w:szCs w:val="32"/>
          <w14:textFill>
            <w14:solidFill>
              <w14:schemeClr w14:val="tx1"/>
            </w14:solidFill>
          </w14:textFill>
        </w:rPr>
      </w:pPr>
      <w:r>
        <w:rPr>
          <w:rFonts w:hint="eastAsia" w:ascii="彩虹黑体" w:hAnsi="宋体" w:eastAsia="彩虹黑体" w:cs="Times New Roman"/>
          <w:snapToGrid w:val="0"/>
          <w:color w:val="000000" w:themeColor="text1"/>
          <w:kern w:val="0"/>
          <w:sz w:val="32"/>
          <w:szCs w:val="32"/>
          <w:lang w:eastAsia="zh-CN"/>
          <w14:textFill>
            <w14:solidFill>
              <w14:schemeClr w14:val="tx1"/>
            </w14:solidFill>
          </w14:textFill>
        </w:rPr>
        <w:t>三、技术要求</w:t>
      </w:r>
    </w:p>
    <w:p>
      <w:pPr>
        <w:spacing w:line="560" w:lineRule="exact"/>
        <w:ind w:firstLine="643" w:firstLineChars="200"/>
        <w:rPr>
          <w:rFonts w:hint="eastAsia" w:ascii="彩虹楷体" w:hAnsi="彩虹楷体" w:eastAsia="彩虹楷体" w:cs="彩虹楷体"/>
          <w:b/>
          <w:bCs/>
          <w:snapToGrid w:val="0"/>
          <w:color w:val="auto"/>
          <w:kern w:val="0"/>
          <w:sz w:val="32"/>
          <w:szCs w:val="32"/>
          <w:lang w:val="en-US" w:eastAsia="zh-CN"/>
        </w:rPr>
      </w:pPr>
      <w:r>
        <w:rPr>
          <w:rFonts w:hint="eastAsia" w:ascii="彩虹楷体" w:hAnsi="彩虹楷体" w:eastAsia="彩虹楷体" w:cs="彩虹楷体"/>
          <w:b/>
          <w:bCs/>
          <w:snapToGrid w:val="0"/>
          <w:color w:val="auto"/>
          <w:kern w:val="0"/>
          <w:sz w:val="32"/>
          <w:szCs w:val="32"/>
          <w:lang w:eastAsia="zh-CN"/>
        </w:rPr>
        <w:t>（一）</w:t>
      </w:r>
      <w:r>
        <w:rPr>
          <w:rFonts w:hint="eastAsia" w:ascii="彩虹楷体" w:hAnsi="彩虹楷体" w:eastAsia="彩虹楷体" w:cs="彩虹楷体"/>
          <w:b/>
          <w:bCs/>
          <w:snapToGrid w:val="0"/>
          <w:color w:val="auto"/>
          <w:kern w:val="0"/>
          <w:sz w:val="32"/>
          <w:szCs w:val="32"/>
          <w:lang w:val="en-US" w:eastAsia="zh-CN"/>
        </w:rPr>
        <w:t>系统功能描述</w:t>
      </w:r>
    </w:p>
    <w:p>
      <w:pPr>
        <w:spacing w:line="560" w:lineRule="exact"/>
        <w:ind w:firstLine="640" w:firstLineChars="200"/>
        <w:rPr>
          <w:rFonts w:hint="eastAsia" w:ascii="彩虹粗仿宋" w:hAnsi="彩虹粗仿宋" w:eastAsia="彩虹粗仿宋" w:cs="彩虹粗仿宋"/>
          <w:snapToGrid w:val="0"/>
          <w:color w:val="auto"/>
          <w:kern w:val="0"/>
          <w:sz w:val="32"/>
          <w:szCs w:val="32"/>
          <w:lang w:val="en-US" w:eastAsia="zh-CN"/>
        </w:rPr>
      </w:pPr>
      <w:r>
        <w:rPr>
          <w:rFonts w:hint="eastAsia" w:ascii="彩虹粗仿宋" w:hAnsi="彩虹粗仿宋" w:eastAsia="彩虹粗仿宋" w:cs="彩虹粗仿宋"/>
          <w:snapToGrid w:val="0"/>
          <w:color w:val="auto"/>
          <w:kern w:val="0"/>
          <w:sz w:val="32"/>
          <w:szCs w:val="32"/>
          <w:lang w:val="en-US" w:eastAsia="zh-CN"/>
        </w:rPr>
        <w:t xml:space="preserve"> 1、支付通道统一管理</w:t>
      </w:r>
    </w:p>
    <w:p>
      <w:pPr>
        <w:spacing w:line="560" w:lineRule="exact"/>
        <w:ind w:firstLine="640" w:firstLineChars="200"/>
        <w:rPr>
          <w:rFonts w:hint="eastAsia" w:ascii="彩虹粗仿宋" w:hAnsi="彩虹粗仿宋" w:eastAsia="彩虹粗仿宋" w:cs="彩虹粗仿宋"/>
          <w:snapToGrid w:val="0"/>
          <w:color w:val="auto"/>
          <w:kern w:val="0"/>
          <w:sz w:val="32"/>
          <w:szCs w:val="32"/>
          <w:lang w:val="en-US" w:eastAsia="zh-CN"/>
        </w:rPr>
      </w:pPr>
      <w:r>
        <w:rPr>
          <w:rFonts w:hint="eastAsia" w:ascii="彩虹粗仿宋" w:hAnsi="彩虹粗仿宋" w:eastAsia="彩虹粗仿宋" w:cs="彩虹粗仿宋"/>
          <w:snapToGrid w:val="0"/>
          <w:color w:val="auto"/>
          <w:kern w:val="0"/>
          <w:sz w:val="32"/>
          <w:szCs w:val="32"/>
          <w:lang w:val="en-US" w:eastAsia="zh-CN"/>
        </w:rPr>
        <w:t xml:space="preserve"> 系统对支付类型进行统一管理，根据不同的业务类型、支付场景配置不同的支付通道，并配置相关的业务支付规则。</w:t>
      </w:r>
    </w:p>
    <w:p>
      <w:pPr>
        <w:spacing w:line="560" w:lineRule="exact"/>
        <w:ind w:firstLine="640" w:firstLineChars="200"/>
        <w:rPr>
          <w:rFonts w:hint="eastAsia" w:ascii="彩虹粗仿宋" w:hAnsi="彩虹粗仿宋" w:eastAsia="彩虹粗仿宋" w:cs="彩虹粗仿宋"/>
          <w:snapToGrid w:val="0"/>
          <w:color w:val="auto"/>
          <w:kern w:val="0"/>
          <w:sz w:val="32"/>
          <w:szCs w:val="32"/>
          <w:lang w:val="en-US" w:eastAsia="zh-CN"/>
        </w:rPr>
      </w:pPr>
      <w:r>
        <w:rPr>
          <w:rFonts w:hint="eastAsia" w:ascii="彩虹粗仿宋" w:hAnsi="彩虹粗仿宋" w:eastAsia="彩虹粗仿宋" w:cs="彩虹粗仿宋"/>
          <w:snapToGrid w:val="0"/>
          <w:color w:val="auto"/>
          <w:kern w:val="0"/>
          <w:sz w:val="32"/>
          <w:szCs w:val="32"/>
          <w:lang w:val="en-US" w:eastAsia="zh-CN"/>
        </w:rPr>
        <w:t>2、系统支持多角色多用户管理</w:t>
      </w:r>
    </w:p>
    <w:p>
      <w:pPr>
        <w:spacing w:line="560" w:lineRule="exact"/>
        <w:ind w:firstLine="640" w:firstLineChars="200"/>
        <w:rPr>
          <w:rFonts w:hint="eastAsia" w:ascii="彩虹粗仿宋" w:hAnsi="彩虹粗仿宋" w:eastAsia="彩虹粗仿宋" w:cs="彩虹粗仿宋"/>
          <w:snapToGrid w:val="0"/>
          <w:color w:val="auto"/>
          <w:kern w:val="0"/>
          <w:sz w:val="32"/>
          <w:szCs w:val="32"/>
          <w:lang w:val="en-US" w:eastAsia="zh-CN"/>
        </w:rPr>
      </w:pPr>
      <w:r>
        <w:rPr>
          <w:rFonts w:hint="eastAsia" w:ascii="彩虹粗仿宋" w:hAnsi="彩虹粗仿宋" w:eastAsia="彩虹粗仿宋" w:cs="彩虹粗仿宋"/>
          <w:snapToGrid w:val="0"/>
          <w:color w:val="auto"/>
          <w:kern w:val="0"/>
          <w:sz w:val="32"/>
          <w:szCs w:val="32"/>
          <w:lang w:val="en-US" w:eastAsia="zh-CN"/>
        </w:rPr>
        <w:t>系统管理员可以在系统中建立不同角色，为不同的操作员分配不同的操作权限和角色，提高系统的安全性</w:t>
      </w:r>
    </w:p>
    <w:p>
      <w:pPr>
        <w:spacing w:line="560" w:lineRule="exact"/>
        <w:ind w:firstLine="640" w:firstLineChars="200"/>
        <w:rPr>
          <w:rFonts w:hint="eastAsia" w:ascii="彩虹粗仿宋" w:hAnsi="彩虹粗仿宋" w:eastAsia="彩虹粗仿宋" w:cs="彩虹粗仿宋"/>
          <w:snapToGrid w:val="0"/>
          <w:color w:val="auto"/>
          <w:kern w:val="0"/>
          <w:sz w:val="32"/>
          <w:szCs w:val="32"/>
          <w:lang w:val="en-US" w:eastAsia="zh-CN"/>
        </w:rPr>
      </w:pPr>
      <w:r>
        <w:rPr>
          <w:rFonts w:hint="eastAsia" w:ascii="彩虹粗仿宋" w:hAnsi="彩虹粗仿宋" w:eastAsia="彩虹粗仿宋" w:cs="彩虹粗仿宋"/>
          <w:snapToGrid w:val="0"/>
          <w:color w:val="auto"/>
          <w:kern w:val="0"/>
          <w:sz w:val="32"/>
          <w:szCs w:val="32"/>
          <w:lang w:val="en-US" w:eastAsia="zh-CN"/>
        </w:rPr>
        <w:t>3、支持现金、微信、支付宝、聚合支付等多种支付方式。</w:t>
      </w:r>
    </w:p>
    <w:p>
      <w:pPr>
        <w:spacing w:line="560" w:lineRule="exact"/>
        <w:ind w:firstLine="640" w:firstLineChars="200"/>
        <w:rPr>
          <w:rFonts w:hint="eastAsia" w:ascii="彩虹粗仿宋" w:hAnsi="彩虹粗仿宋" w:eastAsia="彩虹粗仿宋" w:cs="彩虹粗仿宋"/>
          <w:snapToGrid w:val="0"/>
          <w:color w:val="auto"/>
          <w:kern w:val="0"/>
          <w:sz w:val="32"/>
          <w:szCs w:val="32"/>
          <w:lang w:val="en-US" w:eastAsia="zh-CN"/>
        </w:rPr>
      </w:pPr>
      <w:r>
        <w:rPr>
          <w:rFonts w:hint="eastAsia" w:ascii="彩虹粗仿宋" w:hAnsi="彩虹粗仿宋" w:eastAsia="彩虹粗仿宋" w:cs="彩虹粗仿宋"/>
          <w:snapToGrid w:val="0"/>
          <w:color w:val="auto"/>
          <w:kern w:val="0"/>
          <w:sz w:val="32"/>
          <w:szCs w:val="32"/>
          <w:lang w:val="en-US" w:eastAsia="zh-CN"/>
        </w:rPr>
        <w:t>系统支持常见的支付方式，包括现金支付，扫码支付等支付模式，极大地方便了患者就医过程，改善了就医流程，提高了医院服务水平。</w:t>
      </w:r>
    </w:p>
    <w:p>
      <w:pPr>
        <w:spacing w:line="560" w:lineRule="exact"/>
        <w:ind w:firstLine="640" w:firstLineChars="200"/>
        <w:rPr>
          <w:rFonts w:hint="eastAsia" w:ascii="彩虹粗仿宋" w:hAnsi="彩虹粗仿宋" w:eastAsia="彩虹粗仿宋" w:cs="彩虹粗仿宋"/>
          <w:snapToGrid w:val="0"/>
          <w:color w:val="auto"/>
          <w:kern w:val="0"/>
          <w:sz w:val="32"/>
          <w:szCs w:val="32"/>
          <w:lang w:val="en-US" w:eastAsia="zh-CN"/>
        </w:rPr>
      </w:pPr>
      <w:r>
        <w:rPr>
          <w:rFonts w:hint="eastAsia" w:ascii="彩虹粗仿宋" w:hAnsi="彩虹粗仿宋" w:eastAsia="彩虹粗仿宋" w:cs="彩虹粗仿宋"/>
          <w:snapToGrid w:val="0"/>
          <w:color w:val="auto"/>
          <w:kern w:val="0"/>
          <w:sz w:val="32"/>
          <w:szCs w:val="32"/>
          <w:lang w:val="en-US" w:eastAsia="zh-CN"/>
        </w:rPr>
        <w:t>4、支持退费时的资金原路返回功能。</w:t>
      </w:r>
    </w:p>
    <w:p>
      <w:pPr>
        <w:spacing w:line="560" w:lineRule="exact"/>
        <w:ind w:firstLine="640" w:firstLineChars="200"/>
        <w:rPr>
          <w:rFonts w:hint="eastAsia" w:ascii="彩虹粗仿宋" w:hAnsi="彩虹粗仿宋" w:eastAsia="彩虹粗仿宋" w:cs="彩虹粗仿宋"/>
          <w:snapToGrid w:val="0"/>
          <w:color w:val="auto"/>
          <w:kern w:val="0"/>
          <w:sz w:val="32"/>
          <w:szCs w:val="32"/>
          <w:lang w:val="en-US" w:eastAsia="zh-CN"/>
        </w:rPr>
      </w:pPr>
      <w:r>
        <w:rPr>
          <w:rFonts w:hint="eastAsia" w:ascii="彩虹粗仿宋" w:hAnsi="彩虹粗仿宋" w:eastAsia="彩虹粗仿宋" w:cs="彩虹粗仿宋"/>
          <w:snapToGrid w:val="0"/>
          <w:color w:val="auto"/>
          <w:kern w:val="0"/>
          <w:sz w:val="32"/>
          <w:szCs w:val="32"/>
          <w:lang w:val="en-US" w:eastAsia="zh-CN"/>
        </w:rPr>
        <w:t>系统提供非现金支付的原路返回功能。解决了医院关于现金流的难题。为医院财务的管理工作带来了很大的便捷性。</w:t>
      </w:r>
    </w:p>
    <w:p>
      <w:pPr>
        <w:spacing w:line="560" w:lineRule="exact"/>
        <w:ind w:firstLine="640" w:firstLineChars="200"/>
        <w:rPr>
          <w:rFonts w:hint="eastAsia" w:ascii="彩虹粗仿宋" w:hAnsi="彩虹粗仿宋" w:eastAsia="彩虹粗仿宋" w:cs="彩虹粗仿宋"/>
          <w:snapToGrid w:val="0"/>
          <w:color w:val="auto"/>
          <w:kern w:val="0"/>
          <w:sz w:val="32"/>
          <w:szCs w:val="32"/>
          <w:lang w:val="en-US" w:eastAsia="zh-CN"/>
        </w:rPr>
      </w:pPr>
      <w:r>
        <w:rPr>
          <w:rFonts w:hint="eastAsia" w:ascii="彩虹粗仿宋" w:hAnsi="彩虹粗仿宋" w:eastAsia="彩虹粗仿宋" w:cs="彩虹粗仿宋"/>
          <w:snapToGrid w:val="0"/>
          <w:color w:val="auto"/>
          <w:kern w:val="0"/>
          <w:sz w:val="32"/>
          <w:szCs w:val="32"/>
          <w:lang w:val="en-US" w:eastAsia="zh-CN"/>
        </w:rPr>
        <w:t>5、提供便捷的管理平台，查询和统计相关支付数据。</w:t>
      </w:r>
    </w:p>
    <w:p>
      <w:pPr>
        <w:spacing w:line="560" w:lineRule="exact"/>
        <w:ind w:firstLine="640" w:firstLineChars="200"/>
        <w:rPr>
          <w:rFonts w:hint="eastAsia" w:ascii="彩虹粗仿宋" w:hAnsi="彩虹粗仿宋" w:eastAsia="彩虹粗仿宋" w:cs="彩虹粗仿宋"/>
          <w:snapToGrid w:val="0"/>
          <w:color w:val="auto"/>
          <w:kern w:val="0"/>
          <w:sz w:val="32"/>
          <w:szCs w:val="32"/>
          <w:lang w:val="en-US" w:eastAsia="zh-CN"/>
        </w:rPr>
      </w:pPr>
      <w:r>
        <w:rPr>
          <w:rFonts w:hint="eastAsia" w:ascii="彩虹粗仿宋" w:hAnsi="彩虹粗仿宋" w:eastAsia="彩虹粗仿宋" w:cs="彩虹粗仿宋"/>
          <w:snapToGrid w:val="0"/>
          <w:color w:val="auto"/>
          <w:kern w:val="0"/>
          <w:sz w:val="32"/>
          <w:szCs w:val="32"/>
          <w:lang w:val="en-US" w:eastAsia="zh-CN"/>
        </w:rPr>
        <w:t>系统提供后台管理工具，用于查询支付相关记录和统计支付报表，为财务的账目统计提供依据。</w:t>
      </w:r>
    </w:p>
    <w:p>
      <w:pPr>
        <w:spacing w:line="560" w:lineRule="exact"/>
        <w:ind w:firstLine="640" w:firstLineChars="200"/>
        <w:rPr>
          <w:rFonts w:hint="eastAsia" w:ascii="彩虹粗仿宋" w:hAnsi="彩虹粗仿宋" w:eastAsia="彩虹粗仿宋" w:cs="彩虹粗仿宋"/>
          <w:snapToGrid w:val="0"/>
          <w:color w:val="auto"/>
          <w:kern w:val="0"/>
          <w:sz w:val="32"/>
          <w:szCs w:val="32"/>
          <w:lang w:val="en-US" w:eastAsia="zh-CN"/>
        </w:rPr>
      </w:pPr>
      <w:r>
        <w:rPr>
          <w:rFonts w:hint="eastAsia" w:ascii="彩虹粗仿宋" w:hAnsi="彩虹粗仿宋" w:eastAsia="彩虹粗仿宋" w:cs="彩虹粗仿宋"/>
          <w:snapToGrid w:val="0"/>
          <w:color w:val="auto"/>
          <w:kern w:val="0"/>
          <w:sz w:val="32"/>
          <w:szCs w:val="32"/>
          <w:lang w:val="en-US" w:eastAsia="zh-CN"/>
        </w:rPr>
        <w:t>6、支持对账服务，提供相应支付渠道的对账文件。</w:t>
      </w:r>
    </w:p>
    <w:p>
      <w:pPr>
        <w:spacing w:line="560" w:lineRule="exact"/>
        <w:ind w:firstLine="640" w:firstLineChars="200"/>
        <w:rPr>
          <w:rFonts w:hint="eastAsia" w:ascii="彩虹粗仿宋" w:hAnsi="彩虹粗仿宋" w:eastAsia="彩虹粗仿宋" w:cs="彩虹粗仿宋"/>
          <w:snapToGrid w:val="0"/>
          <w:color w:val="auto"/>
          <w:kern w:val="0"/>
          <w:sz w:val="32"/>
          <w:szCs w:val="32"/>
          <w:lang w:val="en-US" w:eastAsia="zh-CN"/>
        </w:rPr>
      </w:pPr>
      <w:r>
        <w:rPr>
          <w:rFonts w:hint="eastAsia" w:ascii="彩虹粗仿宋" w:hAnsi="彩虹粗仿宋" w:eastAsia="彩虹粗仿宋" w:cs="彩虹粗仿宋"/>
          <w:snapToGrid w:val="0"/>
          <w:color w:val="auto"/>
          <w:kern w:val="0"/>
          <w:sz w:val="32"/>
          <w:szCs w:val="32"/>
          <w:lang w:val="en-US" w:eastAsia="zh-CN"/>
        </w:rPr>
        <w:t>系统提供对账服务接口，为第三方的对账程序提供相应的接口。</w:t>
      </w:r>
    </w:p>
    <w:p>
      <w:pPr>
        <w:spacing w:line="560" w:lineRule="exact"/>
        <w:ind w:firstLine="640" w:firstLineChars="200"/>
        <w:rPr>
          <w:rFonts w:hint="eastAsia" w:ascii="彩虹粗仿宋" w:hAnsi="彩虹粗仿宋" w:eastAsia="彩虹粗仿宋" w:cs="彩虹粗仿宋"/>
          <w:snapToGrid w:val="0"/>
          <w:color w:val="auto"/>
          <w:kern w:val="0"/>
          <w:sz w:val="32"/>
          <w:szCs w:val="32"/>
          <w:lang w:val="en-US" w:eastAsia="zh-CN"/>
        </w:rPr>
      </w:pPr>
      <w:r>
        <w:rPr>
          <w:rFonts w:hint="eastAsia" w:ascii="彩虹粗仿宋" w:hAnsi="彩虹粗仿宋" w:eastAsia="彩虹粗仿宋" w:cs="彩虹粗仿宋"/>
          <w:snapToGrid w:val="0"/>
          <w:color w:val="auto"/>
          <w:kern w:val="0"/>
          <w:sz w:val="32"/>
          <w:szCs w:val="32"/>
          <w:lang w:val="en-US" w:eastAsia="zh-CN"/>
        </w:rPr>
        <w:t>7、提供统一的支付接口。</w:t>
      </w:r>
    </w:p>
    <w:p>
      <w:pPr>
        <w:spacing w:line="560" w:lineRule="exact"/>
        <w:ind w:firstLine="640" w:firstLineChars="200"/>
        <w:rPr>
          <w:rFonts w:hint="eastAsia" w:ascii="彩虹粗仿宋" w:hAnsi="彩虹粗仿宋" w:eastAsia="彩虹粗仿宋" w:cs="彩虹粗仿宋"/>
          <w:snapToGrid w:val="0"/>
          <w:color w:val="auto"/>
          <w:kern w:val="0"/>
          <w:sz w:val="32"/>
          <w:szCs w:val="32"/>
          <w:lang w:val="en-US" w:eastAsia="zh-CN"/>
        </w:rPr>
      </w:pPr>
      <w:r>
        <w:rPr>
          <w:rFonts w:hint="eastAsia" w:ascii="彩虹粗仿宋" w:hAnsi="彩虹粗仿宋" w:eastAsia="彩虹粗仿宋" w:cs="彩虹粗仿宋"/>
          <w:snapToGrid w:val="0"/>
          <w:color w:val="auto"/>
          <w:kern w:val="0"/>
          <w:sz w:val="32"/>
          <w:szCs w:val="32"/>
          <w:lang w:val="en-US" w:eastAsia="zh-CN"/>
        </w:rPr>
        <w:t>系统提供优化后的支付接口，为第三方应用的集成带来了便利性。</w:t>
      </w:r>
    </w:p>
    <w:p>
      <w:pPr>
        <w:spacing w:line="560" w:lineRule="exact"/>
        <w:ind w:firstLine="640" w:firstLineChars="200"/>
        <w:rPr>
          <w:rFonts w:hint="eastAsia" w:ascii="彩虹粗仿宋" w:hAnsi="彩虹粗仿宋" w:eastAsia="彩虹粗仿宋" w:cs="彩虹粗仿宋"/>
          <w:snapToGrid w:val="0"/>
          <w:color w:val="auto"/>
          <w:kern w:val="0"/>
          <w:sz w:val="32"/>
          <w:szCs w:val="32"/>
          <w:lang w:val="en-US" w:eastAsia="zh-CN"/>
        </w:rPr>
      </w:pPr>
      <w:r>
        <w:rPr>
          <w:rFonts w:hint="eastAsia" w:ascii="彩虹粗仿宋" w:hAnsi="彩虹粗仿宋" w:eastAsia="彩虹粗仿宋" w:cs="彩虹粗仿宋"/>
          <w:snapToGrid w:val="0"/>
          <w:color w:val="auto"/>
          <w:kern w:val="0"/>
          <w:sz w:val="32"/>
          <w:szCs w:val="32"/>
          <w:lang w:val="en-US" w:eastAsia="zh-CN"/>
        </w:rPr>
        <w:t>8、业务数据统计</w:t>
      </w:r>
    </w:p>
    <w:p>
      <w:pPr>
        <w:spacing w:line="560" w:lineRule="exact"/>
        <w:ind w:firstLine="640" w:firstLineChars="200"/>
        <w:rPr>
          <w:rFonts w:hint="eastAsia" w:ascii="彩虹粗仿宋" w:hAnsi="彩虹粗仿宋" w:eastAsia="彩虹粗仿宋" w:cs="彩虹粗仿宋"/>
          <w:snapToGrid w:val="0"/>
          <w:color w:val="auto"/>
          <w:kern w:val="0"/>
          <w:sz w:val="32"/>
          <w:szCs w:val="32"/>
          <w:lang w:val="en-US" w:eastAsia="zh-CN"/>
        </w:rPr>
      </w:pPr>
      <w:r>
        <w:rPr>
          <w:rFonts w:hint="eastAsia" w:ascii="彩虹粗仿宋" w:hAnsi="彩虹粗仿宋" w:eastAsia="彩虹粗仿宋" w:cs="彩虹粗仿宋"/>
          <w:snapToGrid w:val="0"/>
          <w:color w:val="auto"/>
          <w:kern w:val="0"/>
          <w:sz w:val="32"/>
          <w:szCs w:val="32"/>
          <w:lang w:val="en-US" w:eastAsia="zh-CN"/>
        </w:rPr>
        <w:t>系统实时统计各个通道的交易数据，按照不同的院区、支付方式、业务类型等方式进行多维度的数据分析，并为决策者展示各交易终端交易数据变化条形图。</w:t>
      </w:r>
    </w:p>
    <w:p>
      <w:pPr>
        <w:spacing w:line="560" w:lineRule="exact"/>
        <w:ind w:firstLine="640" w:firstLineChars="200"/>
        <w:rPr>
          <w:rFonts w:hint="eastAsia" w:ascii="彩虹粗仿宋" w:hAnsi="彩虹粗仿宋" w:eastAsia="彩虹粗仿宋" w:cs="彩虹粗仿宋"/>
          <w:snapToGrid w:val="0"/>
          <w:color w:val="auto"/>
          <w:kern w:val="0"/>
          <w:sz w:val="32"/>
          <w:szCs w:val="32"/>
          <w:lang w:val="en-US" w:eastAsia="zh-CN"/>
        </w:rPr>
      </w:pPr>
      <w:r>
        <w:rPr>
          <w:rFonts w:hint="eastAsia" w:ascii="彩虹粗仿宋" w:hAnsi="彩虹粗仿宋" w:eastAsia="彩虹粗仿宋" w:cs="彩虹粗仿宋"/>
          <w:snapToGrid w:val="0"/>
          <w:color w:val="auto"/>
          <w:kern w:val="0"/>
          <w:sz w:val="32"/>
          <w:szCs w:val="32"/>
          <w:lang w:val="en-US" w:eastAsia="zh-CN"/>
        </w:rPr>
        <w:t>9、接口授权调用。</w:t>
      </w:r>
    </w:p>
    <w:p>
      <w:pPr>
        <w:spacing w:line="560" w:lineRule="exact"/>
        <w:ind w:firstLine="640" w:firstLineChars="200"/>
        <w:rPr>
          <w:rFonts w:hint="eastAsia" w:ascii="彩虹粗仿宋" w:hAnsi="彩虹粗仿宋" w:eastAsia="彩虹粗仿宋" w:cs="彩虹粗仿宋"/>
          <w:snapToGrid w:val="0"/>
          <w:color w:val="auto"/>
          <w:kern w:val="0"/>
          <w:sz w:val="32"/>
          <w:szCs w:val="32"/>
          <w:lang w:val="en-US" w:eastAsia="zh-CN"/>
        </w:rPr>
      </w:pPr>
      <w:r>
        <w:rPr>
          <w:rFonts w:hint="eastAsia" w:ascii="彩虹粗仿宋" w:hAnsi="彩虹粗仿宋" w:eastAsia="彩虹粗仿宋" w:cs="彩虹粗仿宋"/>
          <w:snapToGrid w:val="0"/>
          <w:color w:val="auto"/>
          <w:kern w:val="0"/>
          <w:sz w:val="32"/>
          <w:szCs w:val="32"/>
          <w:lang w:val="en-US" w:eastAsia="zh-CN"/>
        </w:rPr>
        <w:t>系统重视网络安全，各个支付接口，提供权限控制，经过授权的第三方应用，才能合法地调用支付接口。</w:t>
      </w:r>
    </w:p>
    <w:p>
      <w:pPr>
        <w:spacing w:line="560" w:lineRule="exact"/>
        <w:ind w:firstLine="643" w:firstLineChars="200"/>
        <w:rPr>
          <w:rFonts w:hint="eastAsia" w:ascii="彩虹楷体" w:hAnsi="彩虹楷体" w:eastAsia="彩虹楷体" w:cs="彩虹楷体"/>
          <w:b/>
          <w:bCs/>
          <w:snapToGrid w:val="0"/>
          <w:color w:val="auto"/>
          <w:kern w:val="0"/>
          <w:sz w:val="32"/>
          <w:szCs w:val="32"/>
          <w:lang w:val="en-US" w:eastAsia="zh-CN"/>
        </w:rPr>
      </w:pPr>
      <w:r>
        <w:rPr>
          <w:rFonts w:hint="eastAsia" w:ascii="彩虹楷体" w:hAnsi="彩虹楷体" w:eastAsia="彩虹楷体" w:cs="彩虹楷体"/>
          <w:b/>
          <w:bCs/>
          <w:snapToGrid w:val="0"/>
          <w:color w:val="auto"/>
          <w:kern w:val="0"/>
          <w:sz w:val="32"/>
          <w:szCs w:val="32"/>
          <w:lang w:val="en-US" w:eastAsia="zh-CN"/>
        </w:rPr>
        <w:t>（二）系统稳定性</w:t>
      </w:r>
    </w:p>
    <w:p>
      <w:pPr>
        <w:spacing w:line="560" w:lineRule="exact"/>
        <w:ind w:firstLine="640" w:firstLineChars="200"/>
        <w:rPr>
          <w:rFonts w:hint="eastAsia" w:ascii="彩虹粗仿宋" w:hAnsi="彩虹粗仿宋" w:eastAsia="彩虹粗仿宋" w:cs="彩虹粗仿宋"/>
          <w:snapToGrid w:val="0"/>
          <w:color w:val="auto"/>
          <w:kern w:val="0"/>
          <w:sz w:val="32"/>
          <w:szCs w:val="32"/>
          <w:lang w:val="en-US" w:eastAsia="zh-CN"/>
        </w:rPr>
      </w:pPr>
      <w:r>
        <w:rPr>
          <w:rFonts w:hint="eastAsia" w:ascii="彩虹粗仿宋" w:hAnsi="彩虹粗仿宋" w:eastAsia="彩虹粗仿宋" w:cs="彩虹粗仿宋"/>
          <w:snapToGrid w:val="0"/>
          <w:color w:val="auto"/>
          <w:kern w:val="0"/>
          <w:sz w:val="32"/>
          <w:szCs w:val="32"/>
          <w:lang w:val="en-US" w:eastAsia="zh-CN"/>
        </w:rPr>
        <w:t>承诺系统的平均无故障运行时间，比如每月系统因运维问题导致的停机时间不能超过一定时长；确保系统在业务高峰期也能稳定运行，交易处理成功率需达到99%以上等，提供承诺函格式自拟。</w:t>
      </w:r>
    </w:p>
    <w:p>
      <w:pPr>
        <w:spacing w:line="560" w:lineRule="exact"/>
        <w:ind w:firstLine="643" w:firstLineChars="200"/>
        <w:rPr>
          <w:rFonts w:hint="eastAsia" w:ascii="彩虹楷体" w:hAnsi="彩虹楷体" w:eastAsia="彩虹楷体" w:cs="彩虹楷体"/>
          <w:b/>
          <w:bCs/>
          <w:snapToGrid w:val="0"/>
          <w:color w:val="auto"/>
          <w:kern w:val="0"/>
          <w:sz w:val="32"/>
          <w:szCs w:val="32"/>
          <w:lang w:val="en-US" w:eastAsia="zh-CN"/>
        </w:rPr>
      </w:pPr>
      <w:r>
        <w:rPr>
          <w:rFonts w:hint="eastAsia" w:ascii="彩虹楷体" w:hAnsi="彩虹楷体" w:eastAsia="彩虹楷体" w:cs="彩虹楷体"/>
          <w:b/>
          <w:bCs/>
          <w:snapToGrid w:val="0"/>
          <w:color w:val="auto"/>
          <w:kern w:val="0"/>
          <w:sz w:val="32"/>
          <w:szCs w:val="32"/>
          <w:lang w:val="en-US" w:eastAsia="zh-CN"/>
        </w:rPr>
        <w:t>（三）人员资质</w:t>
      </w:r>
    </w:p>
    <w:p>
      <w:pPr>
        <w:spacing w:line="560" w:lineRule="exact"/>
        <w:ind w:firstLine="640" w:firstLineChars="200"/>
        <w:rPr>
          <w:rFonts w:hint="eastAsia" w:ascii="彩虹粗仿宋" w:hAnsi="彩虹粗仿宋" w:eastAsia="彩虹粗仿宋" w:cs="彩虹粗仿宋"/>
          <w:snapToGrid w:val="0"/>
          <w:color w:val="auto"/>
          <w:kern w:val="0"/>
          <w:sz w:val="32"/>
          <w:szCs w:val="32"/>
          <w:lang w:val="en-US" w:eastAsia="zh-CN"/>
        </w:rPr>
      </w:pPr>
      <w:r>
        <w:rPr>
          <w:rFonts w:hint="eastAsia" w:ascii="彩虹粗仿宋" w:hAnsi="彩虹粗仿宋" w:eastAsia="彩虹粗仿宋" w:cs="彩虹粗仿宋"/>
          <w:snapToGrid w:val="0"/>
          <w:color w:val="auto"/>
          <w:kern w:val="0"/>
          <w:sz w:val="32"/>
          <w:szCs w:val="32"/>
          <w:lang w:val="en-US" w:eastAsia="zh-CN"/>
        </w:rPr>
        <w:t>技术团队成员需具备相关的技术资质，参加过类似项目的建设实施，定期对运维人员进行培训，提升其技术水平和服务意识。</w:t>
      </w:r>
    </w:p>
    <w:p>
      <w:pPr>
        <w:spacing w:line="560" w:lineRule="exact"/>
        <w:ind w:firstLine="643" w:firstLineChars="200"/>
        <w:rPr>
          <w:rFonts w:hint="eastAsia" w:ascii="彩虹楷体" w:hAnsi="彩虹楷体" w:eastAsia="彩虹楷体" w:cs="彩虹楷体"/>
          <w:b/>
          <w:bCs/>
          <w:snapToGrid w:val="0"/>
          <w:color w:val="auto"/>
          <w:kern w:val="0"/>
          <w:sz w:val="32"/>
          <w:szCs w:val="32"/>
          <w:lang w:val="en-US" w:eastAsia="zh-CN"/>
        </w:rPr>
      </w:pPr>
      <w:r>
        <w:rPr>
          <w:rFonts w:hint="eastAsia" w:ascii="彩虹楷体" w:hAnsi="彩虹楷体" w:eastAsia="彩虹楷体" w:cs="彩虹楷体"/>
          <w:b/>
          <w:bCs/>
          <w:snapToGrid w:val="0"/>
          <w:color w:val="auto"/>
          <w:kern w:val="0"/>
          <w:sz w:val="32"/>
          <w:szCs w:val="32"/>
          <w:lang w:val="en-US" w:eastAsia="zh-CN"/>
        </w:rPr>
        <w:t>（四）保障措施</w:t>
      </w:r>
    </w:p>
    <w:p>
      <w:pPr>
        <w:spacing w:line="560" w:lineRule="exact"/>
        <w:ind w:firstLine="640" w:firstLineChars="200"/>
        <w:rPr>
          <w:rFonts w:hint="eastAsia" w:ascii="彩虹粗仿宋" w:hAnsi="彩虹粗仿宋" w:eastAsia="彩虹粗仿宋" w:cs="彩虹粗仿宋"/>
          <w:snapToGrid w:val="0"/>
          <w:color w:val="auto"/>
          <w:kern w:val="0"/>
          <w:sz w:val="32"/>
          <w:szCs w:val="32"/>
          <w:lang w:val="en-US" w:eastAsia="zh-CN"/>
        </w:rPr>
      </w:pPr>
      <w:r>
        <w:rPr>
          <w:rFonts w:hint="eastAsia" w:ascii="彩虹粗仿宋" w:hAnsi="彩虹粗仿宋" w:eastAsia="彩虹粗仿宋" w:cs="彩虹粗仿宋"/>
          <w:snapToGrid w:val="0"/>
          <w:color w:val="auto"/>
          <w:kern w:val="0"/>
          <w:sz w:val="32"/>
          <w:szCs w:val="32"/>
          <w:lang w:val="en-US" w:eastAsia="zh-CN"/>
        </w:rPr>
        <w:t>需提供系统运营服务保障措施及实施方案。包含故障、本地化、应急、运行维护等响应方案及保障措施</w:t>
      </w:r>
    </w:p>
    <w:p>
      <w:pPr>
        <w:spacing w:line="560" w:lineRule="exact"/>
        <w:ind w:firstLine="643" w:firstLineChars="200"/>
        <w:rPr>
          <w:rFonts w:hint="eastAsia" w:ascii="彩虹楷体" w:hAnsi="彩虹楷体" w:eastAsia="彩虹楷体" w:cs="彩虹楷体"/>
          <w:b/>
          <w:bCs/>
          <w:snapToGrid w:val="0"/>
          <w:color w:val="auto"/>
          <w:kern w:val="0"/>
          <w:sz w:val="32"/>
          <w:szCs w:val="32"/>
          <w:lang w:val="en-US" w:eastAsia="zh-CN"/>
        </w:rPr>
      </w:pPr>
      <w:r>
        <w:rPr>
          <w:rFonts w:hint="eastAsia" w:ascii="彩虹楷体" w:hAnsi="彩虹楷体" w:eastAsia="彩虹楷体" w:cs="彩虹楷体"/>
          <w:b/>
          <w:bCs/>
          <w:snapToGrid w:val="0"/>
          <w:color w:val="auto"/>
          <w:kern w:val="0"/>
          <w:sz w:val="32"/>
          <w:szCs w:val="32"/>
          <w:lang w:val="en-US" w:eastAsia="zh-CN"/>
        </w:rPr>
        <w:t>（五）服务质量</w:t>
      </w:r>
    </w:p>
    <w:p>
      <w:pPr>
        <w:spacing w:line="560" w:lineRule="exact"/>
        <w:ind w:firstLine="640" w:firstLineChars="200"/>
        <w:rPr>
          <w:rFonts w:hint="eastAsia" w:ascii="彩虹粗仿宋" w:hAnsi="彩虹粗仿宋" w:eastAsia="彩虹粗仿宋" w:cs="彩虹粗仿宋"/>
          <w:snapToGrid w:val="0"/>
          <w:color w:val="auto"/>
          <w:kern w:val="0"/>
          <w:sz w:val="32"/>
          <w:szCs w:val="32"/>
          <w:lang w:val="en-US" w:eastAsia="zh-CN"/>
        </w:rPr>
      </w:pPr>
      <w:r>
        <w:rPr>
          <w:rFonts w:hint="eastAsia" w:ascii="彩虹粗仿宋" w:hAnsi="彩虹粗仿宋" w:eastAsia="彩虹粗仿宋" w:cs="彩虹粗仿宋"/>
          <w:snapToGrid w:val="0"/>
          <w:color w:val="auto"/>
          <w:kern w:val="0"/>
          <w:sz w:val="32"/>
          <w:szCs w:val="32"/>
          <w:lang w:val="en-US" w:eastAsia="zh-CN"/>
        </w:rPr>
        <w:t>承诺提供7×24小时的运维服务，确保系统随时有人监控和维护；建立有效的沟通机制，及时向用户反馈运维情况和问题处理进度。</w:t>
      </w:r>
    </w:p>
    <w:p>
      <w:pPr>
        <w:spacing w:line="560" w:lineRule="exact"/>
        <w:ind w:firstLine="600" w:firstLineChars="200"/>
        <w:rPr>
          <w:rFonts w:hint="eastAsia" w:ascii="彩虹黑体" w:hAnsi="宋体" w:eastAsia="彩虹黑体" w:cs="Times New Roman"/>
          <w:snapToGrid w:val="0"/>
          <w:color w:val="000000" w:themeColor="text1"/>
          <w:kern w:val="0"/>
          <w:sz w:val="30"/>
          <w:szCs w:val="30"/>
          <w:lang w:val="en-US" w:eastAsia="zh-CN"/>
          <w14:textFill>
            <w14:solidFill>
              <w14:schemeClr w14:val="tx1"/>
            </w14:solidFill>
          </w14:textFill>
        </w:rPr>
      </w:pPr>
      <w:r>
        <w:rPr>
          <w:rFonts w:hint="eastAsia" w:ascii="彩虹黑体" w:hAnsi="宋体" w:eastAsia="彩虹黑体" w:cs="Times New Roman"/>
          <w:snapToGrid w:val="0"/>
          <w:color w:val="000000" w:themeColor="text1"/>
          <w:kern w:val="0"/>
          <w:sz w:val="30"/>
          <w:szCs w:val="30"/>
          <w:lang w:val="en-US" w:eastAsia="zh-CN"/>
          <w14:textFill>
            <w14:solidFill>
              <w14:schemeClr w14:val="tx1"/>
            </w14:solidFill>
          </w14:textFill>
        </w:rPr>
        <w:t>四、售后</w:t>
      </w:r>
      <w:bookmarkStart w:id="1" w:name="_GoBack"/>
      <w:bookmarkEnd w:id="1"/>
      <w:r>
        <w:rPr>
          <w:rFonts w:hint="eastAsia" w:ascii="彩虹黑体" w:hAnsi="宋体" w:eastAsia="彩虹黑体" w:cs="Times New Roman"/>
          <w:snapToGrid w:val="0"/>
          <w:color w:val="000000" w:themeColor="text1"/>
          <w:kern w:val="0"/>
          <w:sz w:val="30"/>
          <w:szCs w:val="30"/>
          <w:lang w:val="en-US" w:eastAsia="zh-CN"/>
          <w14:textFill>
            <w14:solidFill>
              <w14:schemeClr w14:val="tx1"/>
            </w14:solidFill>
          </w14:textFill>
        </w:rPr>
        <w:t>服务要求</w:t>
      </w:r>
    </w:p>
    <w:p>
      <w:pPr>
        <w:spacing w:line="560" w:lineRule="exact"/>
        <w:ind w:firstLine="640" w:firstLineChars="200"/>
        <w:rPr>
          <w:rFonts w:hint="default" w:ascii="彩虹粗仿宋" w:hAnsi="彩虹粗仿宋" w:eastAsia="彩虹粗仿宋" w:cs="彩虹粗仿宋"/>
          <w:snapToGrid w:val="0"/>
          <w:color w:val="auto"/>
          <w:kern w:val="0"/>
          <w:sz w:val="32"/>
          <w:szCs w:val="32"/>
          <w:lang w:val="en-US" w:eastAsia="zh-CN"/>
        </w:rPr>
      </w:pPr>
      <w:r>
        <w:rPr>
          <w:rFonts w:hint="eastAsia" w:ascii="彩虹粗仿宋" w:hAnsi="彩虹粗仿宋" w:eastAsia="彩虹粗仿宋" w:cs="彩虹粗仿宋"/>
          <w:snapToGrid w:val="0"/>
          <w:color w:val="auto"/>
          <w:kern w:val="0"/>
          <w:sz w:val="32"/>
          <w:szCs w:val="32"/>
          <w:lang w:val="en-US" w:eastAsia="zh-CN"/>
        </w:rPr>
        <w:t>出具完整的售后服务方案，包括故障处理方式、响应时间、服务途径、到达现场时间、巡检安排、故障排除时间等给出详细的方案。</w:t>
      </w:r>
    </w:p>
    <w:p>
      <w:pPr>
        <w:spacing w:line="560" w:lineRule="exact"/>
        <w:ind w:firstLine="600" w:firstLineChars="200"/>
        <w:rPr>
          <w:rFonts w:ascii="彩虹黑体" w:hAnsi="宋体" w:eastAsia="彩虹黑体" w:cs="Times New Roman"/>
          <w:snapToGrid w:val="0"/>
          <w:color w:val="000000" w:themeColor="text1"/>
          <w:kern w:val="0"/>
          <w:sz w:val="32"/>
          <w:szCs w:val="32"/>
          <w14:textFill>
            <w14:solidFill>
              <w14:schemeClr w14:val="tx1"/>
            </w14:solidFill>
          </w14:textFill>
        </w:rPr>
      </w:pPr>
      <w:r>
        <w:rPr>
          <w:rFonts w:hint="eastAsia" w:ascii="彩虹黑体" w:hAnsi="宋体" w:eastAsia="彩虹黑体" w:cs="Times New Roman"/>
          <w:snapToGrid w:val="0"/>
          <w:color w:val="000000" w:themeColor="text1"/>
          <w:kern w:val="0"/>
          <w:sz w:val="30"/>
          <w:szCs w:val="30"/>
          <w:lang w:eastAsia="zh-CN"/>
          <w14:textFill>
            <w14:solidFill>
              <w14:schemeClr w14:val="tx1"/>
            </w14:solidFill>
          </w14:textFill>
        </w:rPr>
        <w:t>五</w:t>
      </w:r>
      <w:r>
        <w:rPr>
          <w:rFonts w:hint="eastAsia" w:ascii="彩虹黑体" w:hAnsi="宋体" w:eastAsia="彩虹黑体" w:cs="Times New Roman"/>
          <w:snapToGrid w:val="0"/>
          <w:color w:val="000000" w:themeColor="text1"/>
          <w:kern w:val="0"/>
          <w:sz w:val="30"/>
          <w:szCs w:val="30"/>
          <w14:textFill>
            <w14:solidFill>
              <w14:schemeClr w14:val="tx1"/>
            </w14:solidFill>
          </w14:textFill>
        </w:rPr>
        <w:t>、款项支付要求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1.本项目服务一切价款均以人民币转账结算及支付。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彩虹粗仿宋" w:hAnsi="彩虹粗仿宋" w:eastAsia="彩虹粗仿宋" w:cs="彩虹粗仿宋"/>
          <w:color w:val="auto"/>
          <w:sz w:val="32"/>
          <w:szCs w:val="32"/>
          <w:highlight w:val="none"/>
          <w:lang w:val="en-US" w:eastAsia="zh-CN"/>
        </w:rPr>
      </w:pPr>
      <w:r>
        <w:rPr>
          <w:rFonts w:hint="eastAsia" w:ascii="彩虹粗仿宋" w:hAnsi="彩虹粗仿宋" w:eastAsia="彩虹粗仿宋" w:cs="彩虹粗仿宋"/>
          <w:color w:val="auto"/>
          <w:sz w:val="32"/>
          <w:szCs w:val="32"/>
          <w:highlight w:val="none"/>
          <w:lang w:val="en-US" w:eastAsia="zh-CN"/>
        </w:rPr>
        <w:t>2.供应商必须开具合法、真实、有效的增值税发票。支付时，我方按照合同约定将款项转入供货方指定的账户。供货方所指定的开户银行及银行帐号以合同中约定的为准，如有变更，供货方应在合同规定的相关付款期限前7日以书面方式通知需求方，通知应加盖供货方公章。</w:t>
      </w:r>
    </w:p>
    <w:p>
      <w:pPr>
        <w:spacing w:line="560" w:lineRule="exact"/>
        <w:ind w:firstLine="640" w:firstLineChars="200"/>
        <w:rPr>
          <w:rFonts w:ascii="彩虹黑体" w:hAnsi="宋体" w:eastAsia="彩虹黑体" w:cs="Times New Roman"/>
          <w:snapToGrid w:val="0"/>
          <w:color w:val="000000" w:themeColor="text1"/>
          <w:kern w:val="0"/>
          <w:sz w:val="32"/>
          <w:szCs w:val="32"/>
          <w14:textFill>
            <w14:solidFill>
              <w14:schemeClr w14:val="tx1"/>
            </w14:solidFill>
          </w14:textFill>
        </w:rPr>
      </w:pPr>
      <w:r>
        <w:rPr>
          <w:rFonts w:hint="eastAsia" w:ascii="彩虹黑体" w:hAnsi="宋体" w:eastAsia="彩虹黑体" w:cs="Times New Roman"/>
          <w:snapToGrid w:val="0"/>
          <w:color w:val="000000" w:themeColor="text1"/>
          <w:kern w:val="0"/>
          <w:sz w:val="32"/>
          <w:szCs w:val="32"/>
          <w:lang w:eastAsia="zh-CN"/>
          <w14:textFill>
            <w14:solidFill>
              <w14:schemeClr w14:val="tx1"/>
            </w14:solidFill>
          </w14:textFill>
        </w:rPr>
        <w:t>六</w:t>
      </w:r>
      <w:r>
        <w:rPr>
          <w:rFonts w:hint="eastAsia" w:ascii="彩虹黑体" w:hAnsi="宋体" w:eastAsia="彩虹黑体" w:cs="Times New Roman"/>
          <w:snapToGrid w:val="0"/>
          <w:color w:val="000000" w:themeColor="text1"/>
          <w:kern w:val="0"/>
          <w:sz w:val="32"/>
          <w:szCs w:val="32"/>
          <w14:textFill>
            <w14:solidFill>
              <w14:schemeClr w14:val="tx1"/>
            </w14:solidFill>
          </w14:textFill>
        </w:rPr>
        <w:t>、报价要求</w:t>
      </w:r>
    </w:p>
    <w:p>
      <w:pPr>
        <w:pStyle w:val="10"/>
        <w:spacing w:line="560" w:lineRule="exact"/>
        <w:ind w:firstLine="640" w:firstLineChars="200"/>
        <w:rPr>
          <w:rFonts w:hint="eastAsia" w:ascii="彩虹粗仿宋" w:hAnsi="宋体" w:eastAsia="彩虹粗仿宋" w:cs="Times New Roman"/>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lang w:val="en-US" w:eastAsia="zh-CN"/>
          <w14:textFill>
            <w14:solidFill>
              <w14:schemeClr w14:val="tx1"/>
            </w14:solidFill>
          </w14:textFill>
        </w:rPr>
        <w:t>1.</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供应商须按照</w:t>
      </w:r>
      <w:r>
        <w:rPr>
          <w:rFonts w:hint="eastAsia" w:ascii="彩虹粗仿宋" w:hAnsi="宋体" w:eastAsia="彩虹粗仿宋" w:cs="Times New Roman"/>
          <w:snapToGrid w:val="0"/>
          <w:color w:val="000000" w:themeColor="text1"/>
          <w:kern w:val="0"/>
          <w:sz w:val="32"/>
          <w:szCs w:val="32"/>
          <w:lang w:eastAsia="zh-CN"/>
          <w14:textFill>
            <w14:solidFill>
              <w14:schemeClr w14:val="tx1"/>
            </w14:solidFill>
          </w14:textFill>
        </w:rPr>
        <w:t>每年运维费用</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进行报价。</w:t>
      </w:r>
    </w:p>
    <w:p>
      <w:pPr>
        <w:pStyle w:val="10"/>
        <w:spacing w:line="560" w:lineRule="exact"/>
        <w:ind w:firstLine="640" w:firstLineChars="200"/>
        <w:rPr>
          <w:rFonts w:ascii="彩虹粗仿宋" w:hAnsi="宋体" w:eastAsia="彩虹粗仿宋" w:cs="Times New Roman"/>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2.本次招标控制价为：19.5万元，合计金额：19</w:t>
      </w:r>
      <w:r>
        <w:rPr>
          <w:rFonts w:hint="eastAsia" w:ascii="彩虹粗仿宋" w:hAnsi="宋体" w:eastAsia="彩虹粗仿宋" w:cs="Times New Roman"/>
          <w:snapToGrid w:val="0"/>
          <w:color w:val="000000" w:themeColor="text1"/>
          <w:kern w:val="0"/>
          <w:sz w:val="32"/>
          <w:szCs w:val="32"/>
          <w:lang w:val="en-US" w:eastAsia="zh-CN"/>
          <w14:textFill>
            <w14:solidFill>
              <w14:schemeClr w14:val="tx1"/>
            </w14:solidFill>
          </w14:textFill>
        </w:rPr>
        <w:t>5000</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元大写</w:t>
      </w:r>
      <w:r>
        <w:rPr>
          <w:rFonts w:hint="eastAsia" w:ascii="彩虹粗仿宋" w:hAnsi="宋体" w:eastAsia="彩虹粗仿宋" w:cs="Times New Roman"/>
          <w:snapToGrid w:val="0"/>
          <w:color w:val="000000" w:themeColor="text1"/>
          <w:kern w:val="0"/>
          <w:sz w:val="32"/>
          <w:szCs w:val="32"/>
          <w:lang w:eastAsia="zh-CN"/>
          <w14:textFill>
            <w14:solidFill>
              <w14:schemeClr w14:val="tx1"/>
            </w14:solidFill>
          </w14:textFill>
        </w:rPr>
        <w:t>壹拾玖万伍仟元整</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（含税）。</w:t>
      </w:r>
    </w:p>
    <w:p>
      <w:pPr>
        <w:spacing w:line="560" w:lineRule="exact"/>
        <w:ind w:firstLine="640" w:firstLineChars="200"/>
        <w:rPr>
          <w:rFonts w:ascii="彩虹黑体" w:hAnsi="宋体" w:eastAsia="彩虹黑体" w:cs="Times New Roman"/>
          <w:snapToGrid w:val="0"/>
          <w:color w:val="000000" w:themeColor="text1"/>
          <w:kern w:val="0"/>
          <w:sz w:val="32"/>
          <w:szCs w:val="32"/>
          <w14:textFill>
            <w14:solidFill>
              <w14:schemeClr w14:val="tx1"/>
            </w14:solidFill>
          </w14:textFill>
        </w:rPr>
      </w:pPr>
      <w:r>
        <w:rPr>
          <w:rFonts w:hint="eastAsia" w:ascii="彩虹黑体" w:hAnsi="宋体" w:eastAsia="彩虹黑体" w:cs="Times New Roman"/>
          <w:snapToGrid w:val="0"/>
          <w:color w:val="000000" w:themeColor="text1"/>
          <w:kern w:val="0"/>
          <w:sz w:val="32"/>
          <w:szCs w:val="32"/>
          <w:lang w:eastAsia="zh-CN"/>
          <w14:textFill>
            <w14:solidFill>
              <w14:schemeClr w14:val="tx1"/>
            </w14:solidFill>
          </w14:textFill>
        </w:rPr>
        <w:t>七</w:t>
      </w:r>
      <w:r>
        <w:rPr>
          <w:rFonts w:hint="eastAsia" w:ascii="彩虹黑体" w:hAnsi="宋体" w:eastAsia="彩虹黑体" w:cs="Times New Roman"/>
          <w:snapToGrid w:val="0"/>
          <w:color w:val="000000" w:themeColor="text1"/>
          <w:kern w:val="0"/>
          <w:sz w:val="32"/>
          <w:szCs w:val="32"/>
          <w14:textFill>
            <w14:solidFill>
              <w14:schemeClr w14:val="tx1"/>
            </w14:solidFill>
          </w14:textFill>
        </w:rPr>
        <w:t>、保密要求</w:t>
      </w:r>
    </w:p>
    <w:p>
      <w:pPr>
        <w:pStyle w:val="10"/>
        <w:spacing w:line="560" w:lineRule="exact"/>
        <w:ind w:firstLine="640" w:firstLineChars="200"/>
        <w:rPr>
          <w:rFonts w:ascii="彩虹粗仿宋" w:hAnsi="黑体" w:eastAsia="彩虹粗仿宋" w:cs="黑体"/>
          <w:snapToGrid w:val="0"/>
          <w:color w:val="000000" w:themeColor="text1"/>
          <w:kern w:val="0"/>
          <w:sz w:val="32"/>
          <w:szCs w:val="32"/>
          <w14:textFill>
            <w14:solidFill>
              <w14:schemeClr w14:val="tx1"/>
            </w14:solidFill>
          </w14:textFill>
        </w:rPr>
      </w:pPr>
      <w:r>
        <w:rPr>
          <w:rFonts w:hint="eastAsia" w:ascii="彩虹粗仿宋" w:hAnsi="黑体" w:eastAsia="彩虹粗仿宋" w:cs="黑体"/>
          <w:snapToGrid w:val="0"/>
          <w:color w:val="000000" w:themeColor="text1"/>
          <w:kern w:val="0"/>
          <w:sz w:val="32"/>
          <w:szCs w:val="32"/>
          <w:lang w:eastAsia="zh-CN"/>
          <w14:textFill>
            <w14:solidFill>
              <w14:schemeClr w14:val="tx1"/>
            </w14:solidFill>
          </w14:textFill>
        </w:rPr>
        <w:t>该</w:t>
      </w:r>
      <w:r>
        <w:rPr>
          <w:rFonts w:hint="eastAsia" w:ascii="彩虹粗仿宋" w:hAnsi="黑体" w:eastAsia="彩虹粗仿宋" w:cs="黑体"/>
          <w:snapToGrid w:val="0"/>
          <w:color w:val="000000" w:themeColor="text1"/>
          <w:kern w:val="0"/>
          <w:sz w:val="32"/>
          <w:szCs w:val="32"/>
          <w14:textFill>
            <w14:solidFill>
              <w14:schemeClr w14:val="tx1"/>
            </w14:solidFill>
          </w14:textFill>
        </w:rPr>
        <w:t>系统</w:t>
      </w:r>
      <w:r>
        <w:rPr>
          <w:rFonts w:hint="eastAsia" w:ascii="彩虹粗仿宋" w:hAnsi="黑体" w:eastAsia="彩虹粗仿宋" w:cs="黑体"/>
          <w:snapToGrid w:val="0"/>
          <w:color w:val="000000" w:themeColor="text1"/>
          <w:kern w:val="0"/>
          <w:sz w:val="32"/>
          <w:szCs w:val="32"/>
          <w:lang w:eastAsia="zh-CN"/>
          <w14:textFill>
            <w14:solidFill>
              <w14:schemeClr w14:val="tx1"/>
            </w14:solidFill>
          </w14:textFill>
        </w:rPr>
        <w:t>须</w:t>
      </w:r>
      <w:r>
        <w:rPr>
          <w:rFonts w:hint="eastAsia" w:ascii="彩虹粗仿宋" w:hAnsi="黑体" w:eastAsia="彩虹粗仿宋" w:cs="黑体"/>
          <w:snapToGrid w:val="0"/>
          <w:color w:val="000000" w:themeColor="text1"/>
          <w:kern w:val="0"/>
          <w:sz w:val="32"/>
          <w:szCs w:val="32"/>
          <w14:textFill>
            <w14:solidFill>
              <w14:schemeClr w14:val="tx1"/>
            </w14:solidFill>
          </w14:textFill>
        </w:rPr>
        <w:t>采用严格的用户权限管理和控制，以及关键数据加密的措施。系统应采用多种手段防止各种形式与途径的数据非法破坏，如权限分级管理、系统操作日志、修改留痕管理、电子签名等，确保数据的完整性、保密性、不可抵赖性。系统应采用强身份认证措施，必须使用对应验证登录，用户只能使用对应权限的功能。</w:t>
      </w:r>
    </w:p>
    <w:p>
      <w:pPr>
        <w:adjustRightInd w:val="0"/>
        <w:snapToGrid w:val="0"/>
        <w:spacing w:line="560" w:lineRule="exact"/>
        <w:ind w:firstLine="420" w:firstLineChars="200"/>
        <w:rPr>
          <w:rFonts w:eastAsia="彩虹粗仿宋"/>
          <w:color w:val="000000" w:themeColor="text1"/>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altName w:val="方正宋体-人口信息-P2"/>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2000019F" w:csb1="00000000"/>
  </w:font>
  <w:font w:name="FreeSerif">
    <w:panose1 w:val="02020603050405020304"/>
    <w:charset w:val="00"/>
    <w:family w:val="auto"/>
    <w:pitch w:val="default"/>
    <w:sig w:usb0="E593AEFF" w:usb1="C200FDFF" w:usb2="03501B28" w:usb3="00000000" w:csb0="600101FF" w:csb1="DFFF0000"/>
  </w:font>
  <w:font w:name="Ђˎ̥">
    <w:altName w:val="宋体"/>
    <w:panose1 w:val="00000000000000000000"/>
    <w:charset w:val="00"/>
    <w:family w:val="roman"/>
    <w:pitch w:val="default"/>
    <w:sig w:usb0="00000000" w:usb1="00000000" w:usb2="00000000" w:usb3="00000000" w:csb0="00040001" w:csb1="00000000"/>
  </w:font>
  <w:font w:name="苹方-简">
    <w:altName w:val="C059"/>
    <w:panose1 w:val="00000000000000000000"/>
    <w:charset w:val="00"/>
    <w:family w:val="auto"/>
    <w:pitch w:val="default"/>
    <w:sig w:usb0="00000000" w:usb1="00000000" w:usb2="00000000" w:usb3="00000000" w:csb0="00000000" w:csb1="00000000"/>
  </w:font>
  <w:font w:name="C059">
    <w:panose1 w:val="00000500000000000000"/>
    <w:charset w:val="00"/>
    <w:family w:val="auto"/>
    <w:pitch w:val="default"/>
    <w:sig w:usb0="00000287" w:usb1="00000800" w:usb2="00000000" w:usb3="00000000" w:csb0="6000009F" w:csb1="00000000"/>
  </w:font>
  <w:font w:name="MS Gothic">
    <w:altName w:val="宋体"/>
    <w:panose1 w:val="020B0609070205080204"/>
    <w:charset w:val="80"/>
    <w:family w:val="modern"/>
    <w:pitch w:val="default"/>
    <w:sig w:usb0="00000000" w:usb1="00000000" w:usb2="08000012" w:usb3="00000000" w:csb0="4002009F" w:csb1="DFD7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彩虹楷体">
    <w:panose1 w:val="03000509000000000000"/>
    <w:charset w:val="86"/>
    <w:family w:val="auto"/>
    <w:pitch w:val="default"/>
    <w:sig w:usb0="00000001" w:usb1="080E0000" w:usb2="00000000" w:usb3="00000000" w:csb0="00040000" w:csb1="00000000"/>
  </w:font>
  <w:font w:name="微软雅黑">
    <w:altName w:val="黑体"/>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 w:name="方正宋体-人口信息-P2">
    <w:panose1 w:val="03000509000000000000"/>
    <w:charset w:val="86"/>
    <w:family w:val="auto"/>
    <w:pitch w:val="default"/>
    <w:sig w:usb0="10002003" w:usb1="BB1E0800" w:usb2="000A004E" w:usb3="00000000" w:csb0="003C0041" w:csb1="A00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28F26A"/>
    <w:multiLevelType w:val="multilevel"/>
    <w:tmpl w:val="5228F26A"/>
    <w:lvl w:ilvl="0" w:tentative="0">
      <w:start w:val="1"/>
      <w:numFmt w:val="decimal"/>
      <w:pStyle w:val="2"/>
      <w:lvlText w:val="%1."/>
      <w:lvlJc w:val="left"/>
      <w:pPr>
        <w:ind w:left="432" w:hanging="432"/>
      </w:pPr>
      <w:rPr>
        <w:rFonts w:hint="default"/>
      </w:rPr>
    </w:lvl>
    <w:lvl w:ilvl="1" w:tentative="0">
      <w:start w:val="1"/>
      <w:numFmt w:val="decimal"/>
      <w:pStyle w:val="3"/>
      <w:lvlText w:val="%1.%2."/>
      <w:lvlJc w:val="left"/>
      <w:pPr>
        <w:ind w:left="575" w:hanging="575"/>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62D8"/>
    <w:rsid w:val="00097DD6"/>
    <w:rsid w:val="000B3D8E"/>
    <w:rsid w:val="002F7C21"/>
    <w:rsid w:val="00425A1B"/>
    <w:rsid w:val="00477502"/>
    <w:rsid w:val="006A62D8"/>
    <w:rsid w:val="009049D8"/>
    <w:rsid w:val="00AE57DC"/>
    <w:rsid w:val="00CD75B8"/>
    <w:rsid w:val="00CF00D9"/>
    <w:rsid w:val="00EA2666"/>
    <w:rsid w:val="00F66F31"/>
    <w:rsid w:val="01025A37"/>
    <w:rsid w:val="01791910"/>
    <w:rsid w:val="01AA1AC9"/>
    <w:rsid w:val="01CD4D28"/>
    <w:rsid w:val="01D66AD2"/>
    <w:rsid w:val="02810A7C"/>
    <w:rsid w:val="02E96621"/>
    <w:rsid w:val="035C6B10"/>
    <w:rsid w:val="042C0EBC"/>
    <w:rsid w:val="046B7B36"/>
    <w:rsid w:val="06287461"/>
    <w:rsid w:val="06C5576B"/>
    <w:rsid w:val="06E23AB3"/>
    <w:rsid w:val="07A07BF6"/>
    <w:rsid w:val="088B2F95"/>
    <w:rsid w:val="0930241E"/>
    <w:rsid w:val="09F9316B"/>
    <w:rsid w:val="0A312D88"/>
    <w:rsid w:val="0A670558"/>
    <w:rsid w:val="0C6038FC"/>
    <w:rsid w:val="0CAC0156"/>
    <w:rsid w:val="0CE12BAF"/>
    <w:rsid w:val="0D6E42F3"/>
    <w:rsid w:val="0DAC5A26"/>
    <w:rsid w:val="0EAB053C"/>
    <w:rsid w:val="0FF60D05"/>
    <w:rsid w:val="1042097B"/>
    <w:rsid w:val="107E2A9F"/>
    <w:rsid w:val="108E4939"/>
    <w:rsid w:val="10BD1C05"/>
    <w:rsid w:val="10F82CE4"/>
    <w:rsid w:val="118C0FD9"/>
    <w:rsid w:val="11AE4CBE"/>
    <w:rsid w:val="12B34DC6"/>
    <w:rsid w:val="135C37D3"/>
    <w:rsid w:val="145304E8"/>
    <w:rsid w:val="14C07817"/>
    <w:rsid w:val="15140D55"/>
    <w:rsid w:val="168471B4"/>
    <w:rsid w:val="16E64EFA"/>
    <w:rsid w:val="176C3651"/>
    <w:rsid w:val="17FB49D5"/>
    <w:rsid w:val="18181E97"/>
    <w:rsid w:val="183A7BB0"/>
    <w:rsid w:val="189C1D14"/>
    <w:rsid w:val="18E524E5"/>
    <w:rsid w:val="196F567B"/>
    <w:rsid w:val="19C47954"/>
    <w:rsid w:val="19D379B8"/>
    <w:rsid w:val="1C4921B3"/>
    <w:rsid w:val="1CD23809"/>
    <w:rsid w:val="1D1A58FD"/>
    <w:rsid w:val="1D8C4584"/>
    <w:rsid w:val="1D9E02DC"/>
    <w:rsid w:val="1DAA4ED3"/>
    <w:rsid w:val="1EBD6478"/>
    <w:rsid w:val="1EEC6385"/>
    <w:rsid w:val="1F9A2D26"/>
    <w:rsid w:val="20967991"/>
    <w:rsid w:val="210F5917"/>
    <w:rsid w:val="2250146A"/>
    <w:rsid w:val="22673393"/>
    <w:rsid w:val="22715FC0"/>
    <w:rsid w:val="22BB7B7A"/>
    <w:rsid w:val="23445482"/>
    <w:rsid w:val="234C2589"/>
    <w:rsid w:val="23C96279"/>
    <w:rsid w:val="23D9206E"/>
    <w:rsid w:val="24021AF5"/>
    <w:rsid w:val="24502F21"/>
    <w:rsid w:val="245127CC"/>
    <w:rsid w:val="248A4000"/>
    <w:rsid w:val="25396722"/>
    <w:rsid w:val="256A6CF3"/>
    <w:rsid w:val="26355521"/>
    <w:rsid w:val="26DE799C"/>
    <w:rsid w:val="28A075FF"/>
    <w:rsid w:val="29C33921"/>
    <w:rsid w:val="2A663F30"/>
    <w:rsid w:val="2A75089E"/>
    <w:rsid w:val="2B6761B2"/>
    <w:rsid w:val="2BEE68D3"/>
    <w:rsid w:val="2C1005F7"/>
    <w:rsid w:val="2CB35427"/>
    <w:rsid w:val="2CEB696E"/>
    <w:rsid w:val="2CFD15A0"/>
    <w:rsid w:val="2D4D587B"/>
    <w:rsid w:val="2E255EB0"/>
    <w:rsid w:val="2F11729B"/>
    <w:rsid w:val="2F661B6F"/>
    <w:rsid w:val="2FA1020D"/>
    <w:rsid w:val="2FCB3BF8"/>
    <w:rsid w:val="30913CD1"/>
    <w:rsid w:val="311C359A"/>
    <w:rsid w:val="312C57FA"/>
    <w:rsid w:val="31895754"/>
    <w:rsid w:val="31A1198D"/>
    <w:rsid w:val="32003B98"/>
    <w:rsid w:val="322748ED"/>
    <w:rsid w:val="32A95302"/>
    <w:rsid w:val="32F51BC4"/>
    <w:rsid w:val="332B5D17"/>
    <w:rsid w:val="337B28D8"/>
    <w:rsid w:val="33CA3782"/>
    <w:rsid w:val="33F071A1"/>
    <w:rsid w:val="34B87A7E"/>
    <w:rsid w:val="356309A6"/>
    <w:rsid w:val="36056CF3"/>
    <w:rsid w:val="363D2887"/>
    <w:rsid w:val="368B7AB6"/>
    <w:rsid w:val="36A55DE0"/>
    <w:rsid w:val="3748403E"/>
    <w:rsid w:val="376C0B36"/>
    <w:rsid w:val="37FBB63D"/>
    <w:rsid w:val="383C5BD0"/>
    <w:rsid w:val="385860B4"/>
    <w:rsid w:val="38616211"/>
    <w:rsid w:val="39A26A1F"/>
    <w:rsid w:val="39BD6FC6"/>
    <w:rsid w:val="3AAD280F"/>
    <w:rsid w:val="3B6A7CD8"/>
    <w:rsid w:val="3B957EBC"/>
    <w:rsid w:val="3C0637C5"/>
    <w:rsid w:val="3C37397E"/>
    <w:rsid w:val="3D74475E"/>
    <w:rsid w:val="3E0514E0"/>
    <w:rsid w:val="3E4B683D"/>
    <w:rsid w:val="3E945C43"/>
    <w:rsid w:val="3F0818EB"/>
    <w:rsid w:val="3F233925"/>
    <w:rsid w:val="3F387D93"/>
    <w:rsid w:val="3FA96941"/>
    <w:rsid w:val="3FB62E0C"/>
    <w:rsid w:val="3FB7B158"/>
    <w:rsid w:val="3FCE6FFE"/>
    <w:rsid w:val="40035191"/>
    <w:rsid w:val="40081A2E"/>
    <w:rsid w:val="40BC26A4"/>
    <w:rsid w:val="41356808"/>
    <w:rsid w:val="41AA69A0"/>
    <w:rsid w:val="41F74A36"/>
    <w:rsid w:val="42083EB7"/>
    <w:rsid w:val="425B7C9B"/>
    <w:rsid w:val="428959AB"/>
    <w:rsid w:val="438331EE"/>
    <w:rsid w:val="43F71D59"/>
    <w:rsid w:val="44112230"/>
    <w:rsid w:val="44A21BB1"/>
    <w:rsid w:val="44B32884"/>
    <w:rsid w:val="45C67B5B"/>
    <w:rsid w:val="46747D04"/>
    <w:rsid w:val="4678706D"/>
    <w:rsid w:val="470367B6"/>
    <w:rsid w:val="491312CF"/>
    <w:rsid w:val="49CC6D07"/>
    <w:rsid w:val="4AED3C26"/>
    <w:rsid w:val="4AF33166"/>
    <w:rsid w:val="4B096656"/>
    <w:rsid w:val="4B4E4840"/>
    <w:rsid w:val="4D4322D1"/>
    <w:rsid w:val="4D4959E8"/>
    <w:rsid w:val="4DDF1924"/>
    <w:rsid w:val="4DFC7501"/>
    <w:rsid w:val="4DFD03AB"/>
    <w:rsid w:val="4EBD77D1"/>
    <w:rsid w:val="4F3F5341"/>
    <w:rsid w:val="50106568"/>
    <w:rsid w:val="514421CE"/>
    <w:rsid w:val="51B02189"/>
    <w:rsid w:val="51E25CE3"/>
    <w:rsid w:val="526D6A4B"/>
    <w:rsid w:val="53163E96"/>
    <w:rsid w:val="532661FA"/>
    <w:rsid w:val="535D6767"/>
    <w:rsid w:val="536458C6"/>
    <w:rsid w:val="53AF7C6A"/>
    <w:rsid w:val="542E68D4"/>
    <w:rsid w:val="549E2395"/>
    <w:rsid w:val="54AB2D04"/>
    <w:rsid w:val="55EF8144"/>
    <w:rsid w:val="5683B28A"/>
    <w:rsid w:val="570B7A8A"/>
    <w:rsid w:val="57603931"/>
    <w:rsid w:val="586B0F9F"/>
    <w:rsid w:val="58C31CFB"/>
    <w:rsid w:val="5AEB7D7E"/>
    <w:rsid w:val="5CEB16A2"/>
    <w:rsid w:val="5D6F2B20"/>
    <w:rsid w:val="5D7DE865"/>
    <w:rsid w:val="5DE01011"/>
    <w:rsid w:val="5DE71298"/>
    <w:rsid w:val="5DFE3E08"/>
    <w:rsid w:val="5E4445B8"/>
    <w:rsid w:val="614918DA"/>
    <w:rsid w:val="61620C52"/>
    <w:rsid w:val="616D7C3B"/>
    <w:rsid w:val="61897F29"/>
    <w:rsid w:val="61B009D1"/>
    <w:rsid w:val="624301DF"/>
    <w:rsid w:val="62836B6F"/>
    <w:rsid w:val="6300246C"/>
    <w:rsid w:val="6442515A"/>
    <w:rsid w:val="64680F4A"/>
    <w:rsid w:val="64835103"/>
    <w:rsid w:val="651B17E0"/>
    <w:rsid w:val="652B3207"/>
    <w:rsid w:val="65A26B2E"/>
    <w:rsid w:val="65AB3682"/>
    <w:rsid w:val="65F63FEF"/>
    <w:rsid w:val="65F96F2C"/>
    <w:rsid w:val="66166687"/>
    <w:rsid w:val="663D2EB2"/>
    <w:rsid w:val="67C41CBB"/>
    <w:rsid w:val="68077DF9"/>
    <w:rsid w:val="6A1D56B2"/>
    <w:rsid w:val="6AEC0944"/>
    <w:rsid w:val="6B5A09CE"/>
    <w:rsid w:val="6BDD159D"/>
    <w:rsid w:val="6BDDAAFC"/>
    <w:rsid w:val="6C311810"/>
    <w:rsid w:val="6C424DCB"/>
    <w:rsid w:val="6D65184A"/>
    <w:rsid w:val="6E667D8D"/>
    <w:rsid w:val="6E852BE2"/>
    <w:rsid w:val="6EBD3CF7"/>
    <w:rsid w:val="6FAB7ADE"/>
    <w:rsid w:val="6FE93B2A"/>
    <w:rsid w:val="70092CED"/>
    <w:rsid w:val="70352925"/>
    <w:rsid w:val="70CA6A2C"/>
    <w:rsid w:val="71905160"/>
    <w:rsid w:val="71C50B09"/>
    <w:rsid w:val="71E8760B"/>
    <w:rsid w:val="72CE0DEE"/>
    <w:rsid w:val="72F63238"/>
    <w:rsid w:val="73922C6D"/>
    <w:rsid w:val="74285DAA"/>
    <w:rsid w:val="74E41CD4"/>
    <w:rsid w:val="75720390"/>
    <w:rsid w:val="76593F16"/>
    <w:rsid w:val="76AB4597"/>
    <w:rsid w:val="76BF646F"/>
    <w:rsid w:val="7723698C"/>
    <w:rsid w:val="77F167F8"/>
    <w:rsid w:val="78C51AAB"/>
    <w:rsid w:val="791A66D5"/>
    <w:rsid w:val="793B5B55"/>
    <w:rsid w:val="79C066CF"/>
    <w:rsid w:val="79DB449B"/>
    <w:rsid w:val="7A1828E9"/>
    <w:rsid w:val="7A334C79"/>
    <w:rsid w:val="7AE549C0"/>
    <w:rsid w:val="7AFD59C0"/>
    <w:rsid w:val="7B2E0AA4"/>
    <w:rsid w:val="7B3FD28F"/>
    <w:rsid w:val="7B86755B"/>
    <w:rsid w:val="7C167562"/>
    <w:rsid w:val="7C1A7DEB"/>
    <w:rsid w:val="7C607F1C"/>
    <w:rsid w:val="7CCB17CA"/>
    <w:rsid w:val="7D1477FF"/>
    <w:rsid w:val="7D272678"/>
    <w:rsid w:val="7D953504"/>
    <w:rsid w:val="7D9A699F"/>
    <w:rsid w:val="7DFF7EF9"/>
    <w:rsid w:val="7E2766A8"/>
    <w:rsid w:val="7F7165A5"/>
    <w:rsid w:val="8F8F5053"/>
    <w:rsid w:val="ABFF0ADD"/>
    <w:rsid w:val="AD7F7E8A"/>
    <w:rsid w:val="BF77B6C3"/>
    <w:rsid w:val="DB57AD44"/>
    <w:rsid w:val="DBFA3123"/>
    <w:rsid w:val="DEEA2590"/>
    <w:rsid w:val="E2BB01E3"/>
    <w:rsid w:val="F9BF5518"/>
    <w:rsid w:val="FB7F414D"/>
    <w:rsid w:val="FD67C942"/>
    <w:rsid w:val="FFCB15A9"/>
    <w:rsid w:val="FFFC57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99"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qFormat="1" w:uiPriority="99" w:semiHidden="0" w:name="table of authorities"/>
    <w:lsdException w:uiPriority="99" w:name="macro"/>
    <w:lsdException w:qFormat="1"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numPr>
        <w:ilvl w:val="0"/>
        <w:numId w:val="1"/>
      </w:numPr>
      <w:spacing w:before="50" w:beforeLines="50" w:beforeAutospacing="0" w:after="50" w:afterLines="50" w:afterAutospacing="0" w:line="360" w:lineRule="auto"/>
      <w:ind w:left="432" w:hanging="432"/>
      <w:jc w:val="left"/>
      <w:outlineLvl w:val="0"/>
    </w:pPr>
    <w:rPr>
      <w:rFonts w:ascii="Calibri" w:hAnsi="Calibri" w:eastAsia="宋体" w:cs="Times New Roman"/>
      <w:b/>
      <w:kern w:val="44"/>
      <w:sz w:val="36"/>
    </w:rPr>
  </w:style>
  <w:style w:type="paragraph" w:styleId="3">
    <w:name w:val="heading 2"/>
    <w:basedOn w:val="1"/>
    <w:next w:val="1"/>
    <w:unhideWhenUsed/>
    <w:qFormat/>
    <w:uiPriority w:val="0"/>
    <w:pPr>
      <w:keepNext/>
      <w:keepLines/>
      <w:numPr>
        <w:ilvl w:val="1"/>
        <w:numId w:val="1"/>
      </w:numPr>
      <w:spacing w:before="50" w:beforeLines="50" w:beforeAutospacing="0" w:after="50" w:afterLines="50" w:afterAutospacing="0" w:line="360" w:lineRule="auto"/>
      <w:ind w:left="575" w:hanging="575"/>
      <w:jc w:val="left"/>
      <w:outlineLvl w:val="1"/>
    </w:pPr>
    <w:rPr>
      <w:rFonts w:ascii="Arial" w:hAnsi="Arial" w:eastAsia="宋体" w:cs="Times New Roman"/>
      <w:b/>
      <w:sz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table of authorities"/>
    <w:basedOn w:val="1"/>
    <w:next w:val="1"/>
    <w:unhideWhenUsed/>
    <w:qFormat/>
    <w:uiPriority w:val="99"/>
    <w:pPr>
      <w:ind w:left="420" w:leftChars="200"/>
    </w:pPr>
  </w:style>
  <w:style w:type="paragraph" w:styleId="5">
    <w:name w:val="toa heading"/>
    <w:basedOn w:val="1"/>
    <w:next w:val="1"/>
    <w:unhideWhenUsed/>
    <w:qFormat/>
    <w:uiPriority w:val="0"/>
    <w:pPr>
      <w:spacing w:before="120"/>
    </w:pPr>
    <w:rPr>
      <w:rFonts w:ascii="Cambria" w:hAnsi="Cambria" w:eastAsia="宋体" w:cs="Times New Roman"/>
      <w:szCs w:val="24"/>
    </w:rPr>
  </w:style>
  <w:style w:type="paragraph" w:styleId="6">
    <w:name w:val="annotation text"/>
    <w:basedOn w:val="1"/>
    <w:link w:val="31"/>
    <w:semiHidden/>
    <w:unhideWhenUsed/>
    <w:qFormat/>
    <w:uiPriority w:val="99"/>
    <w:pPr>
      <w:jc w:val="left"/>
    </w:pPr>
  </w:style>
  <w:style w:type="paragraph" w:styleId="7">
    <w:name w:val="Balloon Text"/>
    <w:basedOn w:val="1"/>
    <w:link w:val="33"/>
    <w:semiHidden/>
    <w:unhideWhenUsed/>
    <w:qFormat/>
    <w:uiPriority w:val="99"/>
    <w:rPr>
      <w:sz w:val="18"/>
      <w:szCs w:val="18"/>
    </w:rPr>
  </w:style>
  <w:style w:type="paragraph" w:styleId="8">
    <w:name w:val="footer"/>
    <w:basedOn w:val="1"/>
    <w:link w:val="20"/>
    <w:unhideWhenUsed/>
    <w:qFormat/>
    <w:uiPriority w:val="99"/>
    <w:pPr>
      <w:tabs>
        <w:tab w:val="center" w:pos="4153"/>
        <w:tab w:val="right" w:pos="8306"/>
      </w:tabs>
      <w:snapToGrid w:val="0"/>
      <w:jc w:val="left"/>
    </w:pPr>
    <w:rPr>
      <w:sz w:val="18"/>
      <w:szCs w:val="18"/>
    </w:rPr>
  </w:style>
  <w:style w:type="paragraph" w:styleId="9">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Body Text 2"/>
    <w:basedOn w:val="1"/>
    <w:link w:val="21"/>
    <w:qFormat/>
    <w:uiPriority w:val="0"/>
    <w:pPr>
      <w:spacing w:after="120" w:line="480" w:lineRule="auto"/>
    </w:pPr>
  </w:style>
  <w:style w:type="paragraph" w:styleId="11">
    <w:name w:val="HTML Preformatted"/>
    <w:basedOn w:val="1"/>
    <w:link w:val="22"/>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paragraph" w:styleId="12">
    <w:name w:val="Normal (Web)"/>
    <w:basedOn w:val="1"/>
    <w:unhideWhenUsed/>
    <w:qFormat/>
    <w:uiPriority w:val="0"/>
    <w:rPr>
      <w:rFonts w:ascii="Times New Roman" w:hAnsi="Times New Roman" w:eastAsia="宋体" w:cs="Times New Roman"/>
      <w:sz w:val="24"/>
      <w:szCs w:val="24"/>
    </w:rPr>
  </w:style>
  <w:style w:type="paragraph" w:styleId="13">
    <w:name w:val="index 1"/>
    <w:basedOn w:val="1"/>
    <w:next w:val="1"/>
    <w:qFormat/>
    <w:uiPriority w:val="99"/>
    <w:pPr>
      <w:spacing w:line="400" w:lineRule="exact"/>
      <w:ind w:firstLine="420" w:firstLineChars="200"/>
    </w:pPr>
    <w:rPr>
      <w:rFonts w:ascii="Ђˎ̥"/>
      <w:b/>
      <w:szCs w:val="20"/>
    </w:rPr>
  </w:style>
  <w:style w:type="paragraph" w:styleId="14">
    <w:name w:val="annotation subject"/>
    <w:basedOn w:val="6"/>
    <w:next w:val="6"/>
    <w:link w:val="32"/>
    <w:semiHidden/>
    <w:unhideWhenUsed/>
    <w:qFormat/>
    <w:uiPriority w:val="99"/>
    <w:rPr>
      <w:b/>
      <w:bCs/>
    </w:rPr>
  </w:style>
  <w:style w:type="table" w:styleId="16">
    <w:name w:val="Table Grid"/>
    <w:basedOn w:val="1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annotation reference"/>
    <w:basedOn w:val="17"/>
    <w:semiHidden/>
    <w:unhideWhenUsed/>
    <w:qFormat/>
    <w:uiPriority w:val="99"/>
    <w:rPr>
      <w:sz w:val="21"/>
      <w:szCs w:val="21"/>
    </w:rPr>
  </w:style>
  <w:style w:type="character" w:customStyle="1" w:styleId="19">
    <w:name w:val="页眉 Char"/>
    <w:basedOn w:val="17"/>
    <w:link w:val="9"/>
    <w:qFormat/>
    <w:uiPriority w:val="99"/>
    <w:rPr>
      <w:sz w:val="18"/>
      <w:szCs w:val="18"/>
    </w:rPr>
  </w:style>
  <w:style w:type="character" w:customStyle="1" w:styleId="20">
    <w:name w:val="页脚 Char"/>
    <w:basedOn w:val="17"/>
    <w:link w:val="8"/>
    <w:qFormat/>
    <w:uiPriority w:val="99"/>
    <w:rPr>
      <w:sz w:val="18"/>
      <w:szCs w:val="18"/>
    </w:rPr>
  </w:style>
  <w:style w:type="character" w:customStyle="1" w:styleId="21">
    <w:name w:val="正文文本 2 Char"/>
    <w:basedOn w:val="17"/>
    <w:link w:val="10"/>
    <w:qFormat/>
    <w:uiPriority w:val="0"/>
  </w:style>
  <w:style w:type="character" w:customStyle="1" w:styleId="22">
    <w:name w:val="HTML 预设格式 Char"/>
    <w:basedOn w:val="17"/>
    <w:link w:val="11"/>
    <w:semiHidden/>
    <w:qFormat/>
    <w:uiPriority w:val="99"/>
    <w:rPr>
      <w:rFonts w:ascii="宋体" w:hAnsi="宋体" w:eastAsia="宋体" w:cs="Times New Roman"/>
      <w:kern w:val="0"/>
      <w:sz w:val="24"/>
      <w:szCs w:val="24"/>
    </w:rPr>
  </w:style>
  <w:style w:type="table" w:customStyle="1" w:styleId="23">
    <w:name w:val="网格型1"/>
    <w:basedOn w:val="1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24">
    <w:name w:val="font21"/>
    <w:basedOn w:val="17"/>
    <w:qFormat/>
    <w:uiPriority w:val="0"/>
    <w:rPr>
      <w:rFonts w:hint="eastAsia" w:ascii="宋体" w:hAnsi="宋体" w:eastAsia="宋体" w:cs="宋体"/>
      <w:color w:val="000000"/>
      <w:sz w:val="32"/>
      <w:szCs w:val="32"/>
      <w:u w:val="none"/>
    </w:rPr>
  </w:style>
  <w:style w:type="character" w:customStyle="1" w:styleId="25">
    <w:name w:val="font11"/>
    <w:basedOn w:val="17"/>
    <w:qFormat/>
    <w:uiPriority w:val="0"/>
    <w:rPr>
      <w:rFonts w:hint="eastAsia" w:ascii="宋体" w:hAnsi="宋体" w:eastAsia="宋体" w:cs="宋体"/>
      <w:color w:val="000000"/>
      <w:sz w:val="32"/>
      <w:szCs w:val="32"/>
      <w:u w:val="none"/>
    </w:rPr>
  </w:style>
  <w:style w:type="character" w:customStyle="1" w:styleId="26">
    <w:name w:val="font31"/>
    <w:basedOn w:val="17"/>
    <w:qFormat/>
    <w:uiPriority w:val="0"/>
    <w:rPr>
      <w:rFonts w:hint="eastAsia" w:ascii="宋体" w:hAnsi="宋体" w:eastAsia="宋体" w:cs="宋体"/>
      <w:color w:val="000000"/>
      <w:sz w:val="32"/>
      <w:szCs w:val="32"/>
      <w:u w:val="none"/>
    </w:rPr>
  </w:style>
  <w:style w:type="character" w:customStyle="1" w:styleId="27">
    <w:name w:val="font61"/>
    <w:basedOn w:val="17"/>
    <w:qFormat/>
    <w:uiPriority w:val="0"/>
    <w:rPr>
      <w:rFonts w:hint="default" w:ascii="苹方-简" w:hAnsi="苹方-简" w:eastAsia="苹方-简" w:cs="苹方-简"/>
      <w:color w:val="000000"/>
      <w:sz w:val="24"/>
      <w:szCs w:val="24"/>
      <w:u w:val="none"/>
    </w:rPr>
  </w:style>
  <w:style w:type="character" w:customStyle="1" w:styleId="28">
    <w:name w:val="font71"/>
    <w:basedOn w:val="17"/>
    <w:qFormat/>
    <w:uiPriority w:val="0"/>
    <w:rPr>
      <w:rFonts w:hint="default" w:ascii="苹方-简" w:hAnsi="苹方-简" w:eastAsia="苹方-简" w:cs="苹方-简"/>
      <w:color w:val="000000"/>
      <w:sz w:val="24"/>
      <w:szCs w:val="24"/>
      <w:u w:val="none"/>
    </w:rPr>
  </w:style>
  <w:style w:type="character" w:customStyle="1" w:styleId="29">
    <w:name w:val="font41"/>
    <w:basedOn w:val="17"/>
    <w:qFormat/>
    <w:uiPriority w:val="0"/>
    <w:rPr>
      <w:rFonts w:hint="default" w:ascii="苹方-简" w:hAnsi="苹方-简" w:eastAsia="苹方-简" w:cs="苹方-简"/>
      <w:color w:val="000000"/>
      <w:sz w:val="22"/>
      <w:szCs w:val="22"/>
      <w:u w:val="none"/>
    </w:rPr>
  </w:style>
  <w:style w:type="character" w:customStyle="1" w:styleId="30">
    <w:name w:val="font81"/>
    <w:basedOn w:val="17"/>
    <w:qFormat/>
    <w:uiPriority w:val="0"/>
    <w:rPr>
      <w:rFonts w:ascii="MS Gothic" w:hAnsi="MS Gothic" w:eastAsia="MS Gothic" w:cs="MS Gothic"/>
      <w:color w:val="000000"/>
      <w:sz w:val="22"/>
      <w:szCs w:val="22"/>
      <w:u w:val="none"/>
    </w:rPr>
  </w:style>
  <w:style w:type="character" w:customStyle="1" w:styleId="31">
    <w:name w:val="批注文字 Char"/>
    <w:basedOn w:val="17"/>
    <w:link w:val="6"/>
    <w:semiHidden/>
    <w:qFormat/>
    <w:uiPriority w:val="99"/>
    <w:rPr>
      <w:rFonts w:asciiTheme="minorHAnsi" w:hAnsiTheme="minorHAnsi" w:eastAsiaTheme="minorEastAsia" w:cstheme="minorBidi"/>
      <w:kern w:val="2"/>
      <w:sz w:val="21"/>
      <w:szCs w:val="22"/>
    </w:rPr>
  </w:style>
  <w:style w:type="character" w:customStyle="1" w:styleId="32">
    <w:name w:val="批注主题 Char"/>
    <w:basedOn w:val="31"/>
    <w:link w:val="14"/>
    <w:semiHidden/>
    <w:qFormat/>
    <w:uiPriority w:val="99"/>
    <w:rPr>
      <w:rFonts w:asciiTheme="minorHAnsi" w:hAnsiTheme="minorHAnsi" w:eastAsiaTheme="minorEastAsia" w:cstheme="minorBidi"/>
      <w:b/>
      <w:bCs/>
      <w:kern w:val="2"/>
      <w:sz w:val="21"/>
      <w:szCs w:val="22"/>
    </w:rPr>
  </w:style>
  <w:style w:type="character" w:customStyle="1" w:styleId="33">
    <w:name w:val="批注框文本 Char"/>
    <w:basedOn w:val="17"/>
    <w:link w:val="7"/>
    <w:semiHidden/>
    <w:qFormat/>
    <w:uiPriority w:val="99"/>
    <w:rPr>
      <w:rFonts w:asciiTheme="minorHAnsi" w:hAnsiTheme="minorHAnsi" w:eastAsiaTheme="minorEastAsia" w:cstheme="minorBidi"/>
      <w:kern w:val="2"/>
      <w:sz w:val="18"/>
      <w:szCs w:val="18"/>
    </w:rPr>
  </w:style>
  <w:style w:type="paragraph" w:styleId="34">
    <w:name w:val="List Paragraph"/>
    <w:basedOn w:val="1"/>
    <w:qFormat/>
    <w:uiPriority w:val="99"/>
    <w:pPr>
      <w:ind w:left="720"/>
      <w:contextualSpacing/>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electedStyle="\APA.XSL" StyleName="APA"/>
</file>

<file path=customXml/itemProps1.xml><?xml version="1.0" encoding="utf-8"?>
<ds:datastoreItem xmlns:ds="http://schemas.openxmlformats.org/officeDocument/2006/customXml" ds:itemID="{8FCF2B70-3E82-434E-9AAE-71ED9974EB93}">
  <ds:schemaRefs/>
</ds:datastoreItem>
</file>

<file path=docProps/app.xml><?xml version="1.0" encoding="utf-8"?>
<Properties xmlns="http://schemas.openxmlformats.org/officeDocument/2006/extended-properties" xmlns:vt="http://schemas.openxmlformats.org/officeDocument/2006/docPropsVTypes">
  <Template>Normal</Template>
  <Company>神州网信技术有限公司</Company>
  <Pages>7</Pages>
  <Words>1044</Words>
  <Characters>1233</Characters>
  <Lines>133</Lines>
  <Paragraphs>37</Paragraphs>
  <TotalTime>26</TotalTime>
  <ScaleCrop>false</ScaleCrop>
  <LinksUpToDate>false</LinksUpToDate>
  <CharactersWithSpaces>1238</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2025-04-19T03:33:00Z</dcterms:created>
  <dc:creator>机构业务部综合</dc:creator>
  <cp:lastModifiedBy>ccb</cp:lastModifiedBy>
  <cp:lastPrinted>2025-04-16T11:41:00Z</cp:lastPrinted>
  <dcterms:modified xsi:type="dcterms:W3CDTF">2025-10-30T09:13:55Z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B0664CFE62658866797C016963D34C7C_43</vt:lpwstr>
  </property>
  <property fmtid="{D5CDD505-2E9C-101B-9397-08002B2CF9AE}" pid="4" name="KSOTemplateDocerSaveRecord">
    <vt:lpwstr>eyJoZGlkIjoiN2M5NjZiMTA2MTExMWY4NWMzMzRhNDEwYjY2NjU2NDgiLCJ1c2VySWQiOiIxNjc2NzI4MTQ2In0=</vt:lpwstr>
  </property>
</Properties>
</file>