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虞城支行公安</w:t>
      </w:r>
      <w:r>
        <w:t>110联网报警服务</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（一）具有独立法人资格，有效的营业执照。</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（二）正常经营，财务状况良好，提供近三年提供近三年</w:t>
      </w:r>
      <w:r>
        <w:rPr>
          <w:rStyle w:val="5"/>
          <w:rFonts w:ascii="彩虹粗仿宋" w:hAnsi="微软雅黑" w:eastAsia="彩虹粗仿宋"/>
          <w:color w:val="auto"/>
          <w:sz w:val="32"/>
          <w:szCs w:val="32"/>
        </w:rPr>
        <w:t>的经审计的财务报告或财务报表（新成立企业从成立日计算）</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（三）</w:t>
      </w:r>
      <w:bookmarkStart w:id="0" w:name="_GoBack"/>
      <w:r>
        <w:rPr>
          <w:rStyle w:val="5"/>
          <w:rFonts w:hint="eastAsia" w:ascii="彩虹粗仿宋" w:hAnsi="微软雅黑" w:eastAsia="彩虹粗仿宋"/>
          <w:color w:val="auto"/>
          <w:sz w:val="32"/>
          <w:szCs w:val="32"/>
        </w:rPr>
        <w:t>具有固定的办公场所、健全的组织管理机构</w:t>
      </w:r>
      <w:bookmarkEnd w:id="0"/>
      <w:r>
        <w:rPr>
          <w:rStyle w:val="5"/>
          <w:rFonts w:hint="eastAsia" w:ascii="彩虹粗仿宋" w:hAnsi="微软雅黑" w:eastAsia="彩虹粗仿宋"/>
          <w:color w:val="auto"/>
          <w:sz w:val="32"/>
          <w:szCs w:val="32"/>
        </w:rPr>
        <w:t>。</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（四）近三年以来具有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安防、值守及巡查服务</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C2109</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监控报警专线服务</w:t>
            </w:r>
          </w:p>
        </w:tc>
      </w:tr>
    </w:tbl>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pStyle w:val="6"/>
        <w:ind w:firstLine="64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虞城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3.消费者投诉条款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4.其他行为监督</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2.单点报警主机联网率未达到100%,探测设备故障不能在24小时内解决按“不合格”，扣除该点报警服务费。</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tbl>
      <w:tblPr>
        <w:tblStyle w:val="3"/>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商丘分行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对虞城营业网点（含自助）和离行式自助银行、金库、计算机房等重点部位联网报警设备进行报警监控、警情处置等服务</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default" w:ascii="宋体" w:hAnsi="宋体" w:eastAsia="宋体" w:cs="宋体"/>
                <w:sz w:val="22"/>
                <w:lang w:val="en-US" w:eastAsia="zh-CN"/>
              </w:rPr>
            </w:pPr>
            <w:r>
              <w:rPr>
                <w:rFonts w:hint="eastAsia" w:ascii="宋体" w:hAnsi="宋体" w:cs="宋体"/>
                <w:sz w:val="22"/>
                <w:lang w:val="en-US" w:eastAsia="zh-CN"/>
              </w:rPr>
              <w:t>5</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虞城支行2个营业网点，2个离行自助银行。</w:t>
            </w:r>
            <w:r>
              <w:rPr>
                <w:rFonts w:ascii="宋体" w:hAnsi="宋体" w:cs="宋体"/>
                <w:sz w:val="22"/>
              </w:rPr>
              <w:t xml:space="preserve"> </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按照每点每月报含税单价和总价，超过预算为无效报价。</w:t>
      </w:r>
    </w:p>
    <w:tbl>
      <w:tblPr>
        <w:tblStyle w:val="3"/>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108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商丘分行虞城支行110联网报警</w:t>
            </w:r>
          </w:p>
        </w:tc>
        <w:tc>
          <w:tcPr>
            <w:tcW w:w="1418"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2"/>
                <w:lang w:eastAsia="zh-CN"/>
              </w:rPr>
            </w:pPr>
            <w:r>
              <w:rPr>
                <w:rFonts w:hint="eastAsia" w:ascii="宋体" w:hAnsi="宋体" w:cs="宋体"/>
                <w:kern w:val="0"/>
                <w:sz w:val="22"/>
                <w:lang w:val="en-US" w:eastAsia="zh-CN"/>
              </w:rPr>
              <w:t>5</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600</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adjustRightInd w:val="0"/>
        <w:snapToGrid w:val="0"/>
        <w:spacing w:line="360" w:lineRule="auto"/>
        <w:ind w:firstLine="640" w:firstLineChars="200"/>
      </w:pPr>
      <w:r>
        <w:rPr>
          <w:rFonts w:hint="eastAsia" w:ascii="彩虹粗仿宋" w:hAnsi="宋体" w:eastAsia="彩虹粗仿宋"/>
          <w:snapToGrid w:val="0"/>
          <w:sz w:val="32"/>
          <w:szCs w:val="32"/>
        </w:rPr>
        <w:t>无。</w:t>
      </w:r>
    </w:p>
    <w:p>
      <w:pPr>
        <w:pStyle w:val="2"/>
        <w:jc w:val="center"/>
        <w:rPr>
          <w:snapToGrid w:val="0"/>
        </w:rPr>
      </w:pPr>
      <w:r>
        <w:rPr>
          <w:rFonts w:hint="eastAsia"/>
          <w:snapToGrid w:val="0"/>
        </w:rPr>
        <w:t>虞城支行保安服务、巡查服务采购需求</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hAnsi="宋体" w:eastAsia="彩虹粗仿宋"/>
          <w:sz w:val="32"/>
          <w:szCs w:val="32"/>
        </w:rPr>
        <w:t>提供近三年财务报表或经审计的财务报告</w:t>
      </w:r>
      <w:r>
        <w:rPr>
          <w:rFonts w:hint="eastAsia" w:ascii="彩虹粗仿宋" w:eastAsia="彩虹粗仿宋"/>
          <w:sz w:val="32"/>
        </w:rPr>
        <w:t>（新成立企业从成立日计算）；</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（四）近三年以来银行保安同类业绩。</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w:t>
            </w:r>
          </w:p>
        </w:tc>
        <w:tc>
          <w:tcPr>
            <w:tcW w:w="3240" w:type="dxa"/>
            <w:noWrap w:val="0"/>
            <w:vAlign w:val="center"/>
          </w:tcPr>
          <w:p>
            <w:pPr>
              <w:adjustRightInd w:val="0"/>
              <w:snapToGrid w:val="0"/>
              <w:spacing w:line="560" w:lineRule="exact"/>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安防、值守及巡查服务</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C2108</w:t>
            </w:r>
          </w:p>
        </w:tc>
        <w:tc>
          <w:tcPr>
            <w:tcW w:w="2686" w:type="dxa"/>
            <w:noWrap w:val="0"/>
            <w:vAlign w:val="center"/>
          </w:tcPr>
          <w:p>
            <w:pPr>
              <w:adjustRightInd w:val="0"/>
              <w:snapToGrid w:val="0"/>
              <w:spacing w:line="560" w:lineRule="exact"/>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自助设备巡查服务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853"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w:t>
            </w:r>
          </w:p>
        </w:tc>
        <w:tc>
          <w:tcPr>
            <w:tcW w:w="3240" w:type="dxa"/>
            <w:noWrap w:val="0"/>
            <w:vAlign w:val="center"/>
          </w:tcPr>
          <w:p>
            <w:pPr>
              <w:adjustRightInd w:val="0"/>
              <w:snapToGrid w:val="0"/>
              <w:spacing w:line="560" w:lineRule="exac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保安服务</w:t>
            </w:r>
          </w:p>
        </w:tc>
        <w:tc>
          <w:tcPr>
            <w:tcW w:w="1659" w:type="dxa"/>
            <w:noWrap w:val="0"/>
            <w:vAlign w:val="center"/>
          </w:tcPr>
          <w:p>
            <w:pPr>
              <w:adjustRightInd w:val="0"/>
              <w:snapToGrid w:val="0"/>
              <w:spacing w:line="560" w:lineRule="exac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C210203</w:t>
            </w:r>
          </w:p>
        </w:tc>
        <w:tc>
          <w:tcPr>
            <w:tcW w:w="2686" w:type="dxa"/>
            <w:noWrap w:val="0"/>
            <w:vAlign w:val="center"/>
          </w:tcPr>
          <w:p>
            <w:pPr>
              <w:adjustRightInd w:val="0"/>
              <w:snapToGrid w:val="0"/>
              <w:spacing w:line="560" w:lineRule="exac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营业办公楼保安执勤</w:t>
            </w:r>
          </w:p>
        </w:tc>
      </w:tr>
    </w:tbl>
    <w:p>
      <w:pPr>
        <w:pStyle w:val="6"/>
        <w:numPr>
          <w:ilvl w:val="0"/>
          <w:numId w:val="1"/>
        </w:numPr>
        <w:adjustRightInd w:val="0"/>
        <w:snapToGrid w:val="0"/>
        <w:spacing w:line="600" w:lineRule="exact"/>
        <w:ind w:left="0" w:firstLine="64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服务内容</w:t>
      </w:r>
    </w:p>
    <w:p>
      <w:pPr>
        <w:spacing w:line="560" w:lineRule="exact"/>
        <w:ind w:firstLine="640" w:firstLineChars="200"/>
        <w:rPr>
          <w:rFonts w:ascii="彩虹粗仿宋" w:eastAsia="彩虹粗仿宋"/>
          <w:sz w:val="32"/>
          <w:szCs w:val="32"/>
        </w:rPr>
      </w:pPr>
      <w:r>
        <w:rPr>
          <w:rFonts w:hint="eastAsia" w:ascii="彩虹粗仿宋" w:hAnsi="黑体" w:eastAsia="彩虹粗仿宋"/>
          <w:sz w:val="32"/>
          <w:szCs w:val="32"/>
        </w:rPr>
        <w:t>虞城支行配备保安8</w:t>
      </w:r>
      <w:r>
        <w:rPr>
          <w:rFonts w:hint="eastAsia" w:ascii="彩虹粗仿宋" w:hAnsi="宋体" w:eastAsia="彩虹粗仿宋"/>
          <w:snapToGrid w:val="0"/>
          <w:sz w:val="32"/>
          <w:szCs w:val="32"/>
          <w:lang w:val="en-US" w:eastAsia="zh-CN"/>
        </w:rPr>
        <w:t>岗</w:t>
      </w:r>
      <w:r>
        <w:rPr>
          <w:rFonts w:hint="eastAsia" w:ascii="彩虹粗仿宋" w:hAnsi="黑体" w:eastAsia="彩虹粗仿宋"/>
          <w:sz w:val="32"/>
          <w:szCs w:val="32"/>
        </w:rPr>
        <w:t>；虞城支行、虞城东区支行</w:t>
      </w:r>
      <w:r>
        <w:rPr>
          <w:rFonts w:hint="eastAsia" w:ascii="彩虹粗仿宋" w:eastAsia="彩虹粗仿宋"/>
          <w:sz w:val="32"/>
          <w:szCs w:val="32"/>
        </w:rPr>
        <w:t>各配备2</w:t>
      </w:r>
      <w:r>
        <w:rPr>
          <w:rFonts w:hint="eastAsia" w:ascii="彩虹粗仿宋" w:hAnsi="宋体" w:eastAsia="彩虹粗仿宋"/>
          <w:snapToGrid w:val="0"/>
          <w:sz w:val="32"/>
          <w:szCs w:val="32"/>
          <w:lang w:val="en-US" w:eastAsia="zh-CN"/>
        </w:rPr>
        <w:t>岗</w:t>
      </w:r>
      <w:r>
        <w:rPr>
          <w:rFonts w:hint="eastAsia" w:ascii="彩虹粗仿宋" w:eastAsia="彩虹粗仿宋"/>
          <w:sz w:val="32"/>
          <w:szCs w:val="32"/>
        </w:rPr>
        <w:t>保安，社保卡服务配备4</w:t>
      </w:r>
      <w:r>
        <w:rPr>
          <w:rFonts w:hint="eastAsia" w:ascii="彩虹粗仿宋" w:hAnsi="宋体" w:eastAsia="彩虹粗仿宋"/>
          <w:snapToGrid w:val="0"/>
          <w:sz w:val="32"/>
          <w:szCs w:val="32"/>
          <w:lang w:val="en-US" w:eastAsia="zh-CN"/>
        </w:rPr>
        <w:t>岗</w:t>
      </w:r>
      <w:r>
        <w:rPr>
          <w:rFonts w:hint="eastAsia" w:ascii="彩虹粗仿宋" w:eastAsia="彩虹粗仿宋"/>
          <w:sz w:val="32"/>
          <w:szCs w:val="32"/>
        </w:rPr>
        <w:t>；</w:t>
      </w:r>
      <w:r>
        <w:rPr>
          <w:rFonts w:hint="eastAsia" w:ascii="彩虹粗仿宋" w:hAnsi="黑体" w:eastAsia="彩虹粗仿宋"/>
          <w:sz w:val="32"/>
          <w:szCs w:val="32"/>
        </w:rPr>
        <w:t>虞城支行附行式和离行式自助（设备）银行进行安全巡查，共5处</w:t>
      </w:r>
      <w:r>
        <w:rPr>
          <w:rFonts w:hint="eastAsia" w:ascii="彩虹粗仿宋" w:eastAsia="彩虹粗仿宋"/>
          <w:sz w:val="32"/>
          <w:szCs w:val="32"/>
        </w:rPr>
        <w:t>。</w:t>
      </w:r>
    </w:p>
    <w:p>
      <w:pPr>
        <w:spacing w:line="560" w:lineRule="exact"/>
        <w:ind w:firstLine="640" w:firstLineChars="200"/>
        <w:rPr>
          <w:rFonts w:ascii="彩虹粗仿宋" w:hAnsi="宋体" w:eastAsia="彩虹粗仿宋"/>
          <w:snapToGrid w:val="0"/>
          <w:sz w:val="32"/>
          <w:szCs w:val="32"/>
        </w:rPr>
      </w:pPr>
      <w:r>
        <w:rPr>
          <w:rFonts w:hint="eastAsia" w:ascii="彩虹粗仿宋" w:hAnsi="宋体" w:eastAsia="彩虹粗仿宋"/>
          <w:snapToGrid w:val="0"/>
          <w:sz w:val="32"/>
          <w:szCs w:val="32"/>
        </w:rPr>
        <w:t>营业网点保安</w:t>
      </w:r>
      <w:r>
        <w:rPr>
          <w:rFonts w:hint="eastAsia" w:ascii="彩虹粗仿宋" w:hAnsi="Times New Roman" w:eastAsia="彩虹粗仿宋"/>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sz w:val="32"/>
          <w:szCs w:val="32"/>
        </w:rPr>
        <w:t>南阳分（支）行</w:t>
      </w:r>
      <w:r>
        <w:rPr>
          <w:rFonts w:hint="eastAsia" w:ascii="Times New Roman" w:eastAsia="彩虹粗仿宋" w:cs="宋体"/>
          <w:kern w:val="0"/>
          <w:sz w:val="32"/>
          <w:szCs w:val="32"/>
        </w:rPr>
        <w:t>的营业网点正常营业期间驻点值守，</w:t>
      </w:r>
      <w:r>
        <w:rPr>
          <w:rFonts w:hint="eastAsia" w:ascii="彩虹粗仿宋" w:hAnsi="宋体" w:eastAsia="彩虹粗仿宋"/>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自助设备巡查服务内容是对虞城支行2个营业网点（含自助）和3个离行式自助银行每天从晚8:00至次日7:0</w:t>
      </w:r>
      <w:r>
        <w:rPr>
          <w:rFonts w:ascii="彩虹粗仿宋" w:hAnsi="黑体" w:eastAsia="彩虹粗仿宋"/>
          <w:sz w:val="32"/>
          <w:szCs w:val="32"/>
        </w:rPr>
        <w:t>0</w:t>
      </w:r>
      <w:r>
        <w:rPr>
          <w:rFonts w:hint="eastAsia" w:ascii="彩虹粗仿宋" w:hAnsi="黑体" w:eastAsia="彩虹粗仿宋"/>
          <w:sz w:val="32"/>
          <w:szCs w:val="32"/>
        </w:rPr>
        <w:t>进行巡查服务。</w:t>
      </w:r>
    </w:p>
    <w:p>
      <w:pPr>
        <w:autoSpaceDE w:val="0"/>
        <w:autoSpaceDN w:val="0"/>
        <w:adjustRightInd w:val="0"/>
        <w:snapToGrid w:val="0"/>
        <w:spacing w:line="560" w:lineRule="atLeas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供应商指定团队负责1名负责驻行人员的管理，定期与我行进行沟通，了解各服务岗位的服务情况。</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（二）具备一定的专业技能，能正确处理服务中出现的各种情况并进行有效处置。</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（三）所派人员须按国家规定持保安员证上岗，必须认真执行国家有关规定及要求。如由于所派人员违反规定，造成财产损失和人员伤亡的，供应商负全部责任。</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spacing w:line="560" w:lineRule="exact"/>
        <w:ind w:firstLine="643" w:firstLineChars="200"/>
        <w:rPr>
          <w:rFonts w:ascii="彩虹楷体" w:hAnsi="宋体" w:eastAsia="彩虹楷体"/>
          <w:b/>
          <w:snapToGrid w:val="0"/>
          <w:kern w:val="0"/>
          <w:sz w:val="32"/>
          <w:szCs w:val="32"/>
        </w:rPr>
      </w:pPr>
      <w:r>
        <w:rPr>
          <w:rFonts w:hint="eastAsia" w:ascii="彩虹楷体" w:hAnsi="宋体" w:eastAsia="彩虹楷体"/>
          <w:b/>
          <w:snapToGrid w:val="0"/>
          <w:kern w:val="0"/>
          <w:sz w:val="32"/>
          <w:szCs w:val="32"/>
        </w:rPr>
        <w:t>（一）服务质量要求：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sz w:val="32"/>
          <w:szCs w:val="32"/>
        </w:rPr>
      </w:pPr>
      <w:r>
        <w:rPr>
          <w:rFonts w:hint="eastAsia" w:ascii="彩虹粗仿宋" w:hAnsi="Times New Roman" w:eastAsia="彩虹粗仿宋"/>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40" w:firstLineChars="200"/>
        <w:rPr>
          <w:rFonts w:ascii="彩虹粗仿宋" w:hAnsi="华文楷体" w:eastAsia="彩虹粗仿宋"/>
          <w:sz w:val="32"/>
          <w:szCs w:val="32"/>
        </w:rPr>
      </w:pPr>
      <w:r>
        <w:rPr>
          <w:rFonts w:hint="eastAsia" w:ascii="彩虹粗仿宋" w:hAnsi="Times New Roman" w:eastAsia="彩虹粗仿宋"/>
          <w:sz w:val="32"/>
          <w:szCs w:val="32"/>
        </w:rPr>
        <w:t>7.</w:t>
      </w:r>
      <w:r>
        <w:rPr>
          <w:rFonts w:hint="eastAsia" w:ascii="彩虹粗仿宋" w:hAnsi="华文楷体" w:eastAsia="彩虹粗仿宋"/>
          <w:sz w:val="32"/>
          <w:szCs w:val="32"/>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spacing w:line="600" w:lineRule="exact"/>
        <w:ind w:firstLine="643" w:firstLineChars="200"/>
        <w:rPr>
          <w:rFonts w:ascii="彩虹楷体" w:hAnsi="宋体" w:eastAsia="彩虹楷体"/>
          <w:b/>
          <w:kern w:val="0"/>
          <w:sz w:val="32"/>
          <w:szCs w:val="32"/>
        </w:rPr>
      </w:pPr>
      <w:r>
        <w:rPr>
          <w:rFonts w:hint="eastAsia" w:ascii="彩虹楷体" w:hAnsi="Times New Roman" w:eastAsia="彩虹楷体"/>
          <w:b/>
          <w:sz w:val="32"/>
          <w:szCs w:val="32"/>
        </w:rPr>
        <w:t>（二）</w:t>
      </w:r>
      <w:r>
        <w:rPr>
          <w:rFonts w:hint="eastAsia" w:ascii="彩虹楷体" w:hAnsi="宋体" w:eastAsia="彩虹楷体"/>
          <w:b/>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（1）日常管理、监督和检查。</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（2）明确责任，防范风险。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（3）保密要求</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2.应急措施</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（1）日常应急管理</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（三）违约责任</w:t>
      </w:r>
    </w:p>
    <w:p>
      <w:pPr>
        <w:spacing w:line="600" w:lineRule="exact"/>
        <w:ind w:firstLine="640" w:firstLineChars="200"/>
        <w:rPr>
          <w:rFonts w:ascii="彩虹粗仿宋" w:hAnsi="宋体" w:eastAsia="彩虹粗仿宋"/>
          <w:sz w:val="32"/>
          <w:szCs w:val="32"/>
        </w:rPr>
      </w:pPr>
      <w:r>
        <w:rPr>
          <w:rFonts w:hint="eastAsia" w:ascii="彩虹粗仿宋" w:hAnsi="Times New Roman" w:eastAsia="彩虹粗仿宋"/>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sz w:val="32"/>
          <w:szCs w:val="32"/>
        </w:rPr>
        <w:t>供应商应当支付违约金或赔偿金的，应当在接到索赔通知后10日之内支付，或从未支付款项中抵扣相应数额的款项。</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（3）若供应商不能提供符合我行业务需要的安保服务，我行有权终止合作，且无需向供应商继续支付剩余款项。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（四）验收方法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snapToGrid w:val="0"/>
          <w:kern w:val="0"/>
          <w:sz w:val="32"/>
          <w:szCs w:val="32"/>
        </w:rPr>
        <w:t>自助设备巡查服务及</w:t>
      </w:r>
      <w:r>
        <w:rPr>
          <w:rFonts w:hint="eastAsia" w:ascii="彩虹粗仿宋" w:hAnsi="微软雅黑" w:eastAsia="彩虹粗仿宋" w:cs="宋体"/>
          <w:kern w:val="0"/>
          <w:sz w:val="32"/>
          <w:szCs w:val="32"/>
        </w:rPr>
        <w:t>保安服务验收方法：</w:t>
      </w:r>
      <w:r>
        <w:rPr>
          <w:rFonts w:hint="eastAsia" w:ascii="彩虹粗仿宋" w:hAnsi="黑体" w:eastAsia="彩虹粗仿宋"/>
          <w:sz w:val="32"/>
          <w:szCs w:val="32"/>
        </w:rPr>
        <w:t>商丘分行安全保卫部每月组织开展服务测评，并根据《保安服务测评表》出具测评结果，</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。合格档次支付全额服务费用，基本合格、不合格档次所有岗位均分别调减50元、100元服务费用支付，并进行约谈，连续三次不合格甲方有权终止合同。</w:t>
      </w:r>
    </w:p>
    <w:p>
      <w:pPr>
        <w:spacing w:line="560" w:lineRule="exact"/>
        <w:ind w:firstLine="643" w:firstLineChars="200"/>
        <w:rPr>
          <w:rFonts w:ascii="彩虹楷体" w:hAnsi="宋体" w:eastAsia="彩虹楷体"/>
          <w:b/>
          <w:sz w:val="32"/>
          <w:szCs w:val="32"/>
        </w:rPr>
      </w:pPr>
      <w:r>
        <w:rPr>
          <w:rFonts w:hint="eastAsia" w:ascii="彩虹楷体" w:hAnsi="Times New Roman" w:eastAsia="彩虹楷体"/>
          <w:b/>
          <w:sz w:val="32"/>
          <w:szCs w:val="32"/>
        </w:rPr>
        <w:t>（五）</w:t>
      </w:r>
      <w:r>
        <w:rPr>
          <w:rFonts w:hint="eastAsia" w:ascii="彩虹楷体" w:hAnsi="宋体" w:eastAsia="彩虹楷体"/>
          <w:b/>
          <w:sz w:val="32"/>
          <w:szCs w:val="32"/>
        </w:rPr>
        <w:t>消保条款要求</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3.消费者投诉条款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4.其他行为监督</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640" w:firstLineChars="2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（一）安保值守服务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负责为虞城支行2个网点和社保卡中心提供安保值守服务。8个保安人员执勤的工作时间与网点营业时间保持一致，每人每周工作时间符合国家法定工作时间。</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（二）自助设备巡查服务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hAnsi="Times New Roman" w:eastAsia="彩虹粗仿宋"/>
          <w:sz w:val="32"/>
          <w:szCs w:val="32"/>
        </w:rPr>
        <w:t>外包服务公司</w:t>
      </w:r>
      <w:r>
        <w:rPr>
          <w:rFonts w:hint="eastAsia" w:ascii="彩虹粗仿宋" w:hAnsi="宋体" w:eastAsia="彩虹粗仿宋"/>
          <w:snapToGrid w:val="0"/>
          <w:kern w:val="0"/>
          <w:sz w:val="32"/>
          <w:szCs w:val="32"/>
        </w:rPr>
        <w:t>应该按照我行的要求，为虞城支行2个营业网点（自助）和3个离行式自助银行提供夜间巡查服务。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2、巡查人员工作时间为每晚8点至第二日早7点，每晚巡查次数不少于4次，每次巡查间隔不少于2小时，每人每周工作时间符合国家法定工作时间。</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除支付供应商服务费用外，其他费用均由供应商负责。</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adjustRightInd w:val="0"/>
        <w:snapToGrid w:val="0"/>
        <w:spacing w:line="560" w:lineRule="exact"/>
        <w:ind w:firstLine="640" w:firstLineChars="2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1、安保服务：虞城支行2个营业机构和社保卡中心的保安服务。</w:t>
      </w:r>
    </w:p>
    <w:p>
      <w:pPr>
        <w:adjustRightInd w:val="0"/>
        <w:snapToGrid w:val="0"/>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2、自助（设备）银行巡查服务：虞城支行所辖5处附行式（含离行）自助银行。</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eastAsia="彩虹黑体"/>
          <w:sz w:val="32"/>
          <w:szCs w:val="32"/>
        </w:rPr>
        <w:t>七、</w:t>
      </w:r>
      <w:r>
        <w:rPr>
          <w:rFonts w:hint="eastAsia" w:ascii="彩虹黑体" w:hAnsi="宋体" w:eastAsia="彩虹黑体"/>
          <w:snapToGrid w:val="0"/>
          <w:kern w:val="0"/>
          <w:sz w:val="32"/>
          <w:szCs w:val="32"/>
        </w:rPr>
        <w:t>款项支付要求</w:t>
      </w:r>
    </w:p>
    <w:p>
      <w:pPr>
        <w:spacing w:line="60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snapToGrid w:val="0"/>
          <w:sz w:val="32"/>
          <w:szCs w:val="32"/>
        </w:rPr>
        <w:t>，根据月度考核情况，</w:t>
      </w:r>
      <w:r>
        <w:rPr>
          <w:rFonts w:hint="eastAsia" w:ascii="彩虹粗仿宋" w:hAnsi="黑体" w:eastAsia="彩虹粗仿宋"/>
          <w:sz w:val="32"/>
          <w:szCs w:val="32"/>
        </w:rPr>
        <w:t>供应商出具相应的增值税专用发票，</w:t>
      </w:r>
      <w:r>
        <w:rPr>
          <w:rFonts w:hint="eastAsia" w:ascii="彩虹粗仿宋" w:hAnsi="宋体" w:eastAsia="彩虹粗仿宋"/>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楷体" w:hAnsi="黑体" w:eastAsia="彩虹楷体"/>
          <w:sz w:val="32"/>
          <w:szCs w:val="32"/>
        </w:rPr>
        <w:t>保安</w:t>
      </w:r>
      <w:r>
        <w:rPr>
          <w:rFonts w:hint="eastAsia" w:ascii="彩虹粗仿宋" w:hAnsi="微软雅黑" w:eastAsia="彩虹粗仿宋" w:cs="宋体"/>
          <w:kern w:val="0"/>
          <w:sz w:val="32"/>
          <w:szCs w:val="32"/>
        </w:rPr>
        <w:t>服务</w:t>
      </w:r>
      <w:r>
        <w:rPr>
          <w:rFonts w:hint="eastAsia" w:ascii="彩虹粗仿宋" w:hAnsi="宋体" w:eastAsia="彩虹粗仿宋"/>
          <w:snapToGrid w:val="0"/>
          <w:kern w:val="0"/>
          <w:sz w:val="32"/>
          <w:szCs w:val="32"/>
        </w:rPr>
        <w:t>按照服务岗位（单位：元/</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kern w:val="0"/>
          <w:sz w:val="32"/>
          <w:szCs w:val="32"/>
        </w:rPr>
        <w:t>/月）报含税单价和服务含税总价。</w:t>
      </w:r>
      <w:r>
        <w:rPr>
          <w:rFonts w:hint="eastAsia" w:ascii="彩虹楷体" w:hAnsi="黑体" w:eastAsia="彩虹楷体" w:cs="Courier New"/>
          <w:sz w:val="32"/>
          <w:szCs w:val="32"/>
        </w:rPr>
        <w:t>自助设备巡查服务</w:t>
      </w:r>
      <w:r>
        <w:rPr>
          <w:rFonts w:hint="eastAsia" w:ascii="彩虹粗仿宋" w:hAnsi="宋体" w:eastAsia="彩虹粗仿宋"/>
          <w:snapToGrid w:val="0"/>
          <w:kern w:val="0"/>
          <w:sz w:val="32"/>
          <w:szCs w:val="32"/>
        </w:rPr>
        <w:t>按照服务岗位（单位：元/点/月）报含税单价和服务含税总价。超过预算为无效报价。</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序号</w:t>
            </w:r>
          </w:p>
        </w:tc>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单位</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限价</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虞城支行营业网点保安服务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2000</w:t>
            </w:r>
            <w:r>
              <w:rPr>
                <w:rFonts w:hint="eastAsia" w:ascii="彩虹小标宋" w:hAnsi="宋体" w:eastAsia="彩虹小标宋" w:cs="宋体"/>
                <w:kern w:val="0"/>
                <w:sz w:val="22"/>
                <w:szCs w:val="20"/>
              </w:rPr>
              <w:t>元/</w:t>
            </w:r>
            <w:r>
              <w:rPr>
                <w:rFonts w:hint="eastAsia" w:ascii="彩虹小标宋" w:hAnsi="宋体" w:eastAsia="彩虹小标宋" w:cs="宋体"/>
                <w:kern w:val="0"/>
                <w:sz w:val="22"/>
                <w:szCs w:val="20"/>
                <w:lang w:val="en-US" w:eastAsia="zh-CN"/>
              </w:rPr>
              <w:t>岗</w:t>
            </w:r>
            <w:r>
              <w:rPr>
                <w:rFonts w:hint="eastAsia" w:ascii="彩虹小标宋" w:hAnsi="宋体" w:eastAsia="彩虹小标宋" w:cs="宋体"/>
                <w:kern w:val="0"/>
                <w:sz w:val="22"/>
                <w:szCs w:val="20"/>
              </w:rPr>
              <w:t>/月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虞城支行社保卡保安服务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2200</w:t>
            </w:r>
            <w:r>
              <w:rPr>
                <w:rFonts w:hint="eastAsia" w:ascii="彩虹小标宋" w:hAnsi="宋体" w:eastAsia="彩虹小标宋" w:cs="宋体"/>
                <w:kern w:val="0"/>
                <w:sz w:val="22"/>
                <w:szCs w:val="20"/>
              </w:rPr>
              <w:t>元/</w:t>
            </w:r>
            <w:r>
              <w:rPr>
                <w:rFonts w:hint="eastAsia" w:ascii="彩虹小标宋" w:hAnsi="宋体" w:eastAsia="彩虹小标宋" w:cs="宋体"/>
                <w:kern w:val="0"/>
                <w:sz w:val="22"/>
                <w:szCs w:val="20"/>
                <w:lang w:val="en-US" w:eastAsia="zh-CN"/>
              </w:rPr>
              <w:t>岗</w:t>
            </w:r>
            <w:r>
              <w:rPr>
                <w:rFonts w:hint="eastAsia" w:ascii="彩虹小标宋" w:hAnsi="宋体" w:eastAsia="彩虹小标宋" w:cs="宋体"/>
                <w:kern w:val="0"/>
                <w:sz w:val="22"/>
                <w:szCs w:val="20"/>
              </w:rPr>
              <w:t>/月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3</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虞城自助夜巡服务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960元/点/月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5</w:t>
            </w:r>
          </w:p>
        </w:tc>
      </w:tr>
    </w:tbl>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协议期间,如需增加或减少保安岗位,以签订补充协议为准.</w:t>
      </w:r>
    </w:p>
    <w:p>
      <w:r>
        <w:rPr>
          <w:rFonts w:hint="eastAsia" w:ascii="彩虹粗仿宋" w:hAnsi="宋体" w:eastAsia="彩虹粗仿宋"/>
          <w:snapToGrid w:val="0"/>
          <w:kern w:val="0"/>
          <w:sz w:val="32"/>
          <w:szCs w:val="32"/>
        </w:rPr>
        <w:t>附件：</w:t>
      </w:r>
      <w:r>
        <w:rPr>
          <w:rFonts w:ascii="彩虹粗仿宋" w:hAnsi="宋体" w:eastAsia="彩虹粗仿宋"/>
          <w:snapToGrid w:val="0"/>
          <w:kern w:val="0"/>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auto"/>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FE3126"/>
    <w:multiLevelType w:val="multilevel"/>
    <w:tmpl w:val="29FE3126"/>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451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im-content1"/>
    <w:qFormat/>
    <w:uiPriority w:val="0"/>
    <w:rPr>
      <w:color w:val="000000"/>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2024-05-24T01:25:44Z</dcterms:created>
  <dc:creator>haccb</dc:creator>
  <cp:lastModifiedBy>haccb</cp:lastModifiedBy>
  <dcterms:modified xsi:type="dcterms:W3CDTF">2024-05-24T01:29:23Z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E4981433278A4FAAA4049C2DF0BAF87B_12</vt:lpwstr>
  </property>
</Properties>
</file>