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napToGrid w:val="0"/>
          <w:sz w:val="44"/>
          <w:szCs w:val="44"/>
        </w:rPr>
      </w:pPr>
      <w:r>
        <w:rPr>
          <w:rFonts w:hint="eastAsia" w:ascii="彩虹小标宋" w:hAnsi="微软雅黑" w:eastAsia="彩虹小标宋" w:cs="宋体"/>
          <w:b/>
          <w:color w:val="000000"/>
          <w:w w:val="90"/>
          <w:kern w:val="0"/>
          <w:sz w:val="44"/>
          <w:szCs w:val="44"/>
          <w:lang w:val="en-US" w:eastAsia="zh-CN"/>
        </w:rPr>
        <w:t>将乐县政府、华东师范大学附属三明中学</w:t>
      </w:r>
      <w:r>
        <w:rPr>
          <w:rFonts w:hint="eastAsia" w:ascii="彩虹小标宋" w:eastAsia="彩虹小标宋"/>
          <w:snapToGrid w:val="0"/>
          <w:sz w:val="44"/>
          <w:szCs w:val="44"/>
          <w:lang w:val="en-US" w:eastAsia="zh-CN"/>
        </w:rPr>
        <w:t>智慧食堂</w:t>
      </w:r>
      <w:r>
        <w:rPr>
          <w:rFonts w:hint="eastAsia" w:ascii="彩虹小标宋" w:eastAsia="彩虹小标宋"/>
          <w:snapToGrid w:val="0"/>
          <w:sz w:val="44"/>
          <w:szCs w:val="44"/>
        </w:rPr>
        <w:t>设备采购需求</w:t>
      </w:r>
    </w:p>
    <w:p>
      <w:pPr>
        <w:pStyle w:val="8"/>
        <w:spacing w:line="560" w:lineRule="exact"/>
        <w:ind w:firstLine="640" w:firstLineChars="200"/>
        <w:jc w:val="both"/>
        <w:rPr>
          <w:rFonts w:ascii="彩虹粗仿宋" w:hAnsi="Calibri" w:eastAsia="彩虹粗仿宋"/>
          <w:sz w:val="32"/>
          <w:szCs w:val="32"/>
        </w:rPr>
      </w:pPr>
      <w:r>
        <w:rPr>
          <w:rFonts w:hint="eastAsia" w:ascii="彩虹黑体" w:hAnsi="彩虹黑体" w:eastAsia="彩虹黑体" w:cs="彩虹黑体"/>
          <w:sz w:val="32"/>
          <w:szCs w:val="32"/>
        </w:rPr>
        <w:t>一、采购内容</w:t>
      </w:r>
    </w:p>
    <w:p>
      <w:pPr>
        <w:pStyle w:val="8"/>
        <w:ind w:firstLine="560" w:firstLineChars="200"/>
        <w:rPr>
          <w:rFonts w:ascii="彩虹粗仿宋" w:eastAsia="彩虹粗仿宋"/>
          <w:snapToGrid w:val="0"/>
          <w:sz w:val="28"/>
          <w:szCs w:val="28"/>
        </w:rPr>
      </w:pPr>
      <w:r>
        <w:rPr>
          <w:rFonts w:hint="eastAsia" w:ascii="彩虹粗仿宋" w:hAnsi="Calibri" w:eastAsia="彩虹粗仿宋"/>
          <w:sz w:val="28"/>
          <w:szCs w:val="28"/>
        </w:rPr>
        <w:t>采购智慧食堂设备，具体明细及参数、性能要求</w:t>
      </w:r>
      <w:r>
        <w:rPr>
          <w:rFonts w:ascii="彩虹粗仿宋" w:eastAsia="彩虹粗仿宋"/>
          <w:snapToGrid w:val="0"/>
          <w:sz w:val="28"/>
          <w:szCs w:val="28"/>
        </w:rPr>
        <w:t xml:space="preserve">如下： </w:t>
      </w:r>
    </w:p>
    <w:tbl>
      <w:tblPr>
        <w:tblStyle w:val="10"/>
        <w:tblW w:w="8265" w:type="dxa"/>
        <w:tblInd w:w="0" w:type="dxa"/>
        <w:tblLayout w:type="fixed"/>
        <w:tblCellMar>
          <w:top w:w="15" w:type="dxa"/>
          <w:left w:w="15" w:type="dxa"/>
          <w:bottom w:w="15" w:type="dxa"/>
          <w:right w:w="15" w:type="dxa"/>
        </w:tblCellMar>
      </w:tblPr>
      <w:tblGrid>
        <w:gridCol w:w="1071"/>
        <w:gridCol w:w="4538"/>
        <w:gridCol w:w="2044"/>
        <w:gridCol w:w="612"/>
      </w:tblGrid>
      <w:tr>
        <w:tblPrEx>
          <w:tblCellMar>
            <w:top w:w="15" w:type="dxa"/>
            <w:left w:w="15" w:type="dxa"/>
            <w:bottom w:w="15" w:type="dxa"/>
            <w:right w:w="15" w:type="dxa"/>
          </w:tblCellMar>
        </w:tblPrEx>
        <w:trPr>
          <w:trHeight w:val="285" w:hRule="atLeast"/>
        </w:trPr>
        <w:tc>
          <w:tcPr>
            <w:tcW w:w="10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szCs w:val="21"/>
                <w:highlight w:val="none"/>
              </w:rPr>
            </w:pPr>
            <w:r>
              <w:rPr>
                <w:rFonts w:hint="eastAsia" w:ascii="宋体" w:hAnsi="宋体" w:eastAsia="宋体" w:cs="宋体"/>
                <w:b/>
                <w:kern w:val="0"/>
                <w:szCs w:val="21"/>
                <w:highlight w:val="none"/>
              </w:rPr>
              <w:t>设备名称</w:t>
            </w:r>
          </w:p>
        </w:tc>
        <w:tc>
          <w:tcPr>
            <w:tcW w:w="45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szCs w:val="21"/>
                <w:highlight w:val="none"/>
              </w:rPr>
            </w:pPr>
            <w:r>
              <w:rPr>
                <w:rFonts w:hint="eastAsia" w:ascii="宋体" w:hAnsi="宋体" w:eastAsia="宋体" w:cs="宋体"/>
                <w:b/>
                <w:kern w:val="0"/>
                <w:szCs w:val="21"/>
                <w:highlight w:val="none"/>
                <w:lang w:val="en-US" w:eastAsia="zh-CN"/>
              </w:rPr>
              <w:t>功能</w:t>
            </w:r>
            <w:r>
              <w:rPr>
                <w:rFonts w:hint="eastAsia" w:ascii="宋体" w:hAnsi="宋体" w:eastAsia="宋体" w:cs="宋体"/>
                <w:b/>
                <w:kern w:val="0"/>
                <w:szCs w:val="21"/>
                <w:highlight w:val="none"/>
              </w:rPr>
              <w:t>要求说明</w:t>
            </w:r>
          </w:p>
        </w:tc>
        <w:tc>
          <w:tcPr>
            <w:tcW w:w="20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kern w:val="0"/>
                <w:szCs w:val="21"/>
                <w:highlight w:val="none"/>
                <w:lang w:val="en-US" w:eastAsia="zh-CN"/>
              </w:rPr>
            </w:pPr>
            <w:r>
              <w:rPr>
                <w:rFonts w:hint="eastAsia" w:ascii="宋体" w:hAnsi="宋体" w:eastAsia="宋体" w:cs="宋体"/>
                <w:b/>
                <w:kern w:val="0"/>
                <w:szCs w:val="21"/>
                <w:highlight w:val="none"/>
                <w:lang w:val="en-US" w:eastAsia="zh-CN"/>
              </w:rPr>
              <w:t>备注</w:t>
            </w:r>
          </w:p>
        </w:tc>
        <w:tc>
          <w:tcPr>
            <w:tcW w:w="6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szCs w:val="21"/>
                <w:highlight w:val="none"/>
              </w:rPr>
            </w:pPr>
            <w:r>
              <w:rPr>
                <w:rFonts w:hint="eastAsia" w:ascii="宋体" w:hAnsi="宋体" w:eastAsia="宋体" w:cs="宋体"/>
                <w:b/>
                <w:kern w:val="0"/>
                <w:szCs w:val="21"/>
                <w:highlight w:val="none"/>
              </w:rPr>
              <w:t>预计需求数量</w:t>
            </w:r>
          </w:p>
        </w:tc>
      </w:tr>
      <w:tr>
        <w:tblPrEx>
          <w:tblCellMar>
            <w:top w:w="15" w:type="dxa"/>
            <w:left w:w="15" w:type="dxa"/>
            <w:bottom w:w="15" w:type="dxa"/>
            <w:right w:w="15" w:type="dxa"/>
          </w:tblCellMar>
        </w:tblPrEx>
        <w:trPr>
          <w:trHeight w:val="2624" w:hRule="atLeast"/>
        </w:trPr>
        <w:tc>
          <w:tcPr>
            <w:tcW w:w="10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Theme="minorEastAsia" w:cstheme="minorBidi"/>
                <w:b/>
                <w:kern w:val="0"/>
                <w:sz w:val="21"/>
                <w:szCs w:val="21"/>
                <w:highlight w:val="none"/>
                <w:lang w:val="en-US" w:eastAsia="zh-CN" w:bidi="ar-SA"/>
              </w:rPr>
            </w:pPr>
            <w:r>
              <w:rPr>
                <w:rFonts w:hint="eastAsia" w:ascii="宋体" w:hAnsi="宋体" w:cs="宋体"/>
                <w:b/>
                <w:kern w:val="0"/>
                <w:szCs w:val="21"/>
                <w:highlight w:val="none"/>
                <w:lang w:val="en-US" w:eastAsia="zh-CN"/>
              </w:rPr>
              <w:t>智能人脸消费机</w:t>
            </w:r>
          </w:p>
        </w:tc>
        <w:tc>
          <w:tcPr>
            <w:tcW w:w="4538" w:type="dxa"/>
            <w:tcBorders>
              <w:top w:val="single" w:color="000000" w:sz="4" w:space="0"/>
              <w:left w:val="single" w:color="000000" w:sz="4" w:space="0"/>
              <w:bottom w:val="single" w:color="000000" w:sz="4" w:space="0"/>
              <w:right w:val="single" w:color="000000" w:sz="4" w:space="0"/>
            </w:tcBorders>
            <w:vAlign w:val="center"/>
          </w:tcPr>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处理器：高速四核1.8GHz</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操作系统：Android 8.1</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存储器：2GB RAM + 8GB ROM</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主显示屏：10.1英寸，分辨率1280*800，副显示屏：8英寸，分辨率1280*800</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电容式触摸屏，支持10点触控</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摄像头：200万像素，内置双目摄像头，支持活体检测</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卡类型：13．56MHz Mifare卡</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扫码模组：一维码、二维码</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接口：USB*1，RJ45*1</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通讯：以太网/WIFI/蓝牙4.0/（含终端软件v1.0）</w:t>
            </w:r>
          </w:p>
          <w:p>
            <w:pPr>
              <w:pStyle w:val="7"/>
              <w:widowControl/>
              <w:spacing w:after="0" w:line="240" w:lineRule="auto"/>
              <w:ind w:firstLine="0" w:firstLineChars="0"/>
              <w:jc w:val="left"/>
              <w:rPr>
                <w:rFonts w:hint="eastAsia" w:ascii="彩虹粗仿宋" w:hAnsi="宋体" w:eastAsia="彩虹粗仿宋" w:cs="宋体"/>
                <w:kern w:val="0"/>
                <w:sz w:val="18"/>
                <w:szCs w:val="18"/>
                <w:highlight w:val="none"/>
                <w:lang w:val="en-US" w:eastAsia="zh-CN" w:bidi="ar-SA"/>
              </w:rPr>
            </w:pPr>
          </w:p>
        </w:tc>
        <w:tc>
          <w:tcPr>
            <w:tcW w:w="2044" w:type="dxa"/>
            <w:tcBorders>
              <w:top w:val="single" w:color="000000" w:sz="4" w:space="0"/>
              <w:left w:val="single" w:color="000000" w:sz="4" w:space="0"/>
              <w:right w:val="single" w:color="000000" w:sz="4" w:space="0"/>
            </w:tcBorders>
            <w:vAlign w:val="center"/>
          </w:tcPr>
          <w:p>
            <w:pPr>
              <w:pStyle w:val="7"/>
              <w:widowControl/>
              <w:spacing w:after="0" w:line="240" w:lineRule="auto"/>
              <w:ind w:firstLine="0" w:firstLineChars="0"/>
              <w:jc w:val="left"/>
              <w:rPr>
                <w:rFonts w:hint="default" w:ascii="彩虹粗仿宋" w:hAnsi="等线" w:eastAsia="彩虹粗仿宋" w:cs="宋体"/>
                <w:kern w:val="0"/>
                <w:sz w:val="18"/>
                <w:szCs w:val="18"/>
                <w:highlight w:val="none"/>
                <w:lang w:val="en-US" w:eastAsia="zh-CN"/>
              </w:rPr>
            </w:pPr>
            <w:r>
              <w:rPr>
                <w:rFonts w:hint="eastAsia" w:ascii="彩虹粗仿宋" w:hAnsi="等线" w:eastAsia="彩虹粗仿宋" w:cs="宋体"/>
                <w:kern w:val="0"/>
                <w:sz w:val="18"/>
                <w:szCs w:val="18"/>
                <w:highlight w:val="none"/>
                <w:lang w:val="en-US" w:eastAsia="zh-CN"/>
              </w:rPr>
              <w:t>1、</w:t>
            </w:r>
            <w:r>
              <w:rPr>
                <w:rFonts w:hint="default" w:ascii="彩虹粗仿宋" w:hAnsi="等线" w:eastAsia="彩虹粗仿宋" w:cs="宋体"/>
                <w:kern w:val="0"/>
                <w:sz w:val="18"/>
                <w:szCs w:val="18"/>
                <w:highlight w:val="none"/>
                <w:lang w:val="en-US" w:eastAsia="zh-CN"/>
              </w:rPr>
              <w:t>包含1500双不锈钢筷子、1500支不锈钢调羹、3000个不锈钢碗（直径11.5cm）、5000只不锈钢小餐盘（直径12.3cm）、1500个密胺托盘40*30</w:t>
            </w:r>
            <w:r>
              <w:rPr>
                <w:rFonts w:hint="eastAsia" w:ascii="彩虹粗仿宋" w:hAnsi="等线" w:eastAsia="彩虹粗仿宋" w:cs="宋体"/>
                <w:kern w:val="0"/>
                <w:sz w:val="18"/>
                <w:szCs w:val="18"/>
                <w:highlight w:val="none"/>
                <w:lang w:val="en-US" w:eastAsia="zh-CN"/>
              </w:rPr>
              <w:t>；2、</w:t>
            </w:r>
            <w:r>
              <w:rPr>
                <w:rFonts w:hint="default" w:ascii="彩虹粗仿宋" w:hAnsi="等线" w:eastAsia="彩虹粗仿宋" w:cs="宋体"/>
                <w:kern w:val="0"/>
                <w:sz w:val="18"/>
                <w:szCs w:val="18"/>
                <w:highlight w:val="none"/>
                <w:lang w:val="en-US" w:eastAsia="zh-CN"/>
              </w:rPr>
              <w:t>需对接校方水电控系统</w:t>
            </w:r>
            <w:r>
              <w:rPr>
                <w:rFonts w:hint="eastAsia" w:ascii="彩虹粗仿宋" w:hAnsi="等线" w:eastAsia="彩虹粗仿宋" w:cs="宋体"/>
                <w:kern w:val="0"/>
                <w:sz w:val="18"/>
                <w:szCs w:val="18"/>
                <w:highlight w:val="none"/>
                <w:lang w:val="en-US" w:eastAsia="zh-CN"/>
              </w:rPr>
              <w:t>（深圳嘉荣华）；3、需对接校方2个小卖铺收银系统（排队网收银系统）；</w:t>
            </w:r>
          </w:p>
        </w:tc>
        <w:tc>
          <w:tcPr>
            <w:tcW w:w="6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kern w:val="0"/>
                <w:szCs w:val="21"/>
                <w:highlight w:val="none"/>
                <w:lang w:val="en-US" w:eastAsia="zh-CN"/>
              </w:rPr>
            </w:pPr>
            <w:r>
              <w:rPr>
                <w:rFonts w:hint="eastAsia" w:ascii="宋体" w:hAnsi="宋体"/>
                <w:kern w:val="0"/>
                <w:szCs w:val="21"/>
                <w:highlight w:val="none"/>
                <w:lang w:val="en-US" w:eastAsia="zh-CN"/>
              </w:rPr>
              <w:t>12</w:t>
            </w:r>
          </w:p>
        </w:tc>
      </w:tr>
      <w:tr>
        <w:tblPrEx>
          <w:tblCellMar>
            <w:top w:w="15" w:type="dxa"/>
            <w:left w:w="15" w:type="dxa"/>
            <w:bottom w:w="15" w:type="dxa"/>
            <w:right w:w="15" w:type="dxa"/>
          </w:tblCellMar>
        </w:tblPrEx>
        <w:trPr>
          <w:trHeight w:val="1181" w:hRule="atLeast"/>
        </w:trPr>
        <w:tc>
          <w:tcPr>
            <w:tcW w:w="10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kern w:val="0"/>
                <w:szCs w:val="21"/>
                <w:highlight w:val="none"/>
              </w:rPr>
            </w:pPr>
            <w:r>
              <w:rPr>
                <w:rFonts w:hint="eastAsia" w:ascii="宋体" w:hAnsi="宋体" w:cs="宋体"/>
                <w:b/>
                <w:kern w:val="0"/>
                <w:szCs w:val="21"/>
                <w:highlight w:val="none"/>
                <w:lang w:val="en-US" w:eastAsia="zh-CN"/>
              </w:rPr>
              <w:t>消费</w:t>
            </w:r>
            <w:r>
              <w:rPr>
                <w:rFonts w:hint="eastAsia" w:ascii="宋体" w:hAnsi="宋体" w:cs="宋体"/>
                <w:b/>
                <w:kern w:val="0"/>
                <w:szCs w:val="21"/>
                <w:highlight w:val="none"/>
              </w:rPr>
              <w:t>双屏结算终端</w:t>
            </w:r>
          </w:p>
        </w:tc>
        <w:tc>
          <w:tcPr>
            <w:tcW w:w="4538" w:type="dxa"/>
            <w:tcBorders>
              <w:top w:val="single" w:color="000000" w:sz="4" w:space="0"/>
              <w:left w:val="single" w:color="000000" w:sz="4" w:space="0"/>
              <w:bottom w:val="single" w:color="000000" w:sz="4" w:space="0"/>
              <w:right w:val="single" w:color="000000" w:sz="4" w:space="0"/>
            </w:tcBorders>
            <w:vAlign w:val="center"/>
          </w:tcPr>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处理器：CPU主频1.8GHz，处理单元八核</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操作系统：安卓7.1</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存储设备：2GB RAM + 16GB ROM</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显示屏：15.6英寸 + 10.1英寸，电容式多点触摸屏</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通讯模块：以太网、WIFI、4G（选配）</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摄像头：双目200万像素或3D结构光摄像头，带补光灯</w:t>
            </w:r>
          </w:p>
          <w:p>
            <w:pPr>
              <w:pStyle w:val="7"/>
              <w:widowControl/>
              <w:spacing w:after="0" w:line="240" w:lineRule="auto"/>
              <w:ind w:firstLine="0" w:firstLineChars="0"/>
              <w:jc w:val="left"/>
              <w:rPr>
                <w:rFonts w:hint="eastAsia" w:ascii="彩虹粗仿宋" w:hAnsi="等线" w:eastAsia="彩虹粗仿宋" w:cs="宋体"/>
                <w:kern w:val="0"/>
                <w:sz w:val="16"/>
                <w:szCs w:val="16"/>
                <w:highlight w:val="none"/>
              </w:rPr>
            </w:pPr>
            <w:r>
              <w:rPr>
                <w:rFonts w:hint="eastAsia" w:ascii="彩虹粗仿宋" w:hAnsi="等线" w:eastAsia="彩虹粗仿宋" w:cs="宋体"/>
                <w:kern w:val="0"/>
                <w:sz w:val="16"/>
                <w:szCs w:val="16"/>
                <w:highlight w:val="none"/>
              </w:rPr>
              <w:t>打印机：自带高速热敏打印机，带自动切纸，含两卷打印纸</w:t>
            </w:r>
          </w:p>
          <w:p>
            <w:pPr>
              <w:pStyle w:val="7"/>
              <w:widowControl/>
              <w:spacing w:after="0" w:line="240" w:lineRule="auto"/>
              <w:ind w:firstLine="0" w:firstLineChars="0"/>
              <w:jc w:val="left"/>
              <w:rPr>
                <w:rFonts w:ascii="彩虹粗仿宋" w:hAnsi="宋体" w:eastAsia="彩虹粗仿宋" w:cs="宋体"/>
                <w:kern w:val="0"/>
                <w:sz w:val="18"/>
                <w:szCs w:val="18"/>
                <w:highlight w:val="none"/>
              </w:rPr>
            </w:pPr>
            <w:r>
              <w:rPr>
                <w:rFonts w:hint="eastAsia" w:ascii="彩虹粗仿宋" w:hAnsi="等线" w:eastAsia="彩虹粗仿宋" w:cs="宋体"/>
                <w:kern w:val="0"/>
                <w:sz w:val="16"/>
                <w:szCs w:val="16"/>
                <w:highlight w:val="none"/>
              </w:rPr>
              <w:t>支付方式：刷卡、扫码、刷脸</w:t>
            </w:r>
          </w:p>
        </w:tc>
        <w:tc>
          <w:tcPr>
            <w:tcW w:w="2044" w:type="dxa"/>
            <w:vMerge w:val="restart"/>
            <w:tcBorders>
              <w:top w:val="single" w:color="000000" w:sz="4" w:space="0"/>
              <w:left w:val="single" w:color="000000" w:sz="4" w:space="0"/>
              <w:right w:val="single" w:color="000000" w:sz="4" w:space="0"/>
            </w:tcBorders>
            <w:vAlign w:val="center"/>
          </w:tcPr>
          <w:p>
            <w:pPr>
              <w:pStyle w:val="7"/>
              <w:widowControl/>
              <w:spacing w:after="0" w:line="240" w:lineRule="auto"/>
              <w:ind w:firstLine="0" w:firstLineChars="0"/>
              <w:jc w:val="left"/>
              <w:rPr>
                <w:rFonts w:hint="eastAsia" w:ascii="彩虹粗仿宋" w:hAnsi="等线" w:eastAsia="彩虹粗仿宋" w:cs="宋体"/>
                <w:kern w:val="0"/>
                <w:sz w:val="18"/>
                <w:szCs w:val="18"/>
                <w:highlight w:val="none"/>
                <w:lang w:val="en-US" w:eastAsia="zh-CN"/>
              </w:rPr>
            </w:pPr>
            <w:r>
              <w:rPr>
                <w:rFonts w:hint="eastAsia" w:ascii="彩虹粗仿宋" w:hAnsi="等线" w:eastAsia="彩虹粗仿宋" w:cs="宋体"/>
                <w:kern w:val="0"/>
                <w:sz w:val="18"/>
                <w:szCs w:val="18"/>
                <w:highlight w:val="none"/>
                <w:lang w:val="en-US" w:eastAsia="zh-CN"/>
              </w:rPr>
              <w:t>1、须与政府现有芯片餐盘、芯片碗及保温出品台（智盘系统）适配。</w:t>
            </w:r>
          </w:p>
          <w:p>
            <w:pPr>
              <w:pStyle w:val="7"/>
              <w:widowControl/>
              <w:spacing w:after="0" w:line="240" w:lineRule="auto"/>
              <w:ind w:firstLine="0" w:firstLineChars="0"/>
              <w:jc w:val="left"/>
              <w:rPr>
                <w:rFonts w:hint="default" w:ascii="宋体" w:hAnsi="宋体"/>
                <w:kern w:val="0"/>
                <w:szCs w:val="21"/>
                <w:highlight w:val="none"/>
                <w:lang w:val="en-US" w:eastAsia="zh-CN"/>
              </w:rPr>
            </w:pPr>
            <w:r>
              <w:rPr>
                <w:rFonts w:hint="eastAsia" w:ascii="彩虹粗仿宋" w:hAnsi="等线" w:eastAsia="彩虹粗仿宋" w:cs="宋体"/>
                <w:kern w:val="0"/>
                <w:sz w:val="18"/>
                <w:szCs w:val="18"/>
                <w:highlight w:val="none"/>
                <w:lang w:val="en-US" w:eastAsia="zh-CN"/>
              </w:rPr>
              <w:t>2、餐具见附件，另含6台手持结算设备。</w:t>
            </w:r>
          </w:p>
        </w:tc>
        <w:tc>
          <w:tcPr>
            <w:tcW w:w="6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Theme="minorEastAsia"/>
                <w:kern w:val="0"/>
                <w:szCs w:val="21"/>
                <w:highlight w:val="none"/>
                <w:lang w:val="en-US" w:eastAsia="zh-CN"/>
              </w:rPr>
            </w:pPr>
            <w:r>
              <w:rPr>
                <w:rFonts w:hint="eastAsia" w:ascii="宋体" w:hAnsi="宋体"/>
                <w:kern w:val="0"/>
                <w:szCs w:val="21"/>
                <w:highlight w:val="none"/>
                <w:lang w:val="en-US" w:eastAsia="zh-CN"/>
              </w:rPr>
              <w:t>6</w:t>
            </w:r>
          </w:p>
        </w:tc>
      </w:tr>
      <w:tr>
        <w:tblPrEx>
          <w:tblCellMar>
            <w:top w:w="15" w:type="dxa"/>
            <w:left w:w="15" w:type="dxa"/>
            <w:bottom w:w="15" w:type="dxa"/>
            <w:right w:w="15" w:type="dxa"/>
          </w:tblCellMar>
        </w:tblPrEx>
        <w:trPr>
          <w:trHeight w:val="3558" w:hRule="atLeast"/>
        </w:trPr>
        <w:tc>
          <w:tcPr>
            <w:tcW w:w="10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Theme="minorEastAsia"/>
                <w:b/>
                <w:szCs w:val="21"/>
                <w:highlight w:val="none"/>
                <w:lang w:eastAsia="zh-CN"/>
              </w:rPr>
            </w:pPr>
            <w:r>
              <w:rPr>
                <w:rFonts w:hint="eastAsia" w:ascii="宋体" w:hAnsi="宋体" w:cs="宋体"/>
                <w:b/>
                <w:szCs w:val="21"/>
                <w:highlight w:val="none"/>
              </w:rPr>
              <w:t>多媒体自助</w:t>
            </w:r>
            <w:r>
              <w:rPr>
                <w:rFonts w:hint="eastAsia" w:ascii="宋体" w:hAnsi="宋体" w:cs="宋体"/>
                <w:b/>
                <w:szCs w:val="21"/>
                <w:highlight w:val="none"/>
                <w:lang w:val="en-US" w:eastAsia="zh-CN"/>
              </w:rPr>
              <w:t>芯片</w:t>
            </w:r>
            <w:r>
              <w:rPr>
                <w:rFonts w:hint="eastAsia" w:ascii="宋体" w:hAnsi="宋体" w:cs="宋体"/>
                <w:b/>
                <w:szCs w:val="21"/>
                <w:highlight w:val="none"/>
              </w:rPr>
              <w:t>结算台</w:t>
            </w:r>
            <w:r>
              <w:rPr>
                <w:rFonts w:hint="eastAsia" w:ascii="宋体" w:hAnsi="宋体" w:cs="宋体"/>
                <w:b/>
                <w:szCs w:val="21"/>
                <w:highlight w:val="none"/>
                <w:lang w:eastAsia="zh-CN"/>
              </w:rPr>
              <w:t>（</w:t>
            </w:r>
            <w:r>
              <w:rPr>
                <w:rFonts w:hint="eastAsia" w:ascii="宋体" w:hAnsi="宋体" w:cs="宋体"/>
                <w:b/>
                <w:szCs w:val="21"/>
                <w:highlight w:val="none"/>
                <w:lang w:val="en-US" w:eastAsia="zh-CN"/>
              </w:rPr>
              <w:t>双通道</w:t>
            </w:r>
            <w:r>
              <w:rPr>
                <w:rFonts w:hint="eastAsia" w:ascii="宋体" w:hAnsi="宋体" w:cs="宋体"/>
                <w:b/>
                <w:szCs w:val="21"/>
                <w:highlight w:val="none"/>
                <w:lang w:eastAsia="zh-CN"/>
              </w:rPr>
              <w:t>）</w:t>
            </w:r>
          </w:p>
        </w:tc>
        <w:tc>
          <w:tcPr>
            <w:tcW w:w="453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1.含等候区和结算区，可对进入结算台“结算区”的智能餐盘进行快速、批量识别，就餐者自助完成支付结算；</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2.内置结算软件，具有收银、餐盘管理和营业统计等功能；</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3.支持自动核算、自助支付、批量改写定义价格、未支付报警提示、交易记录查询、余额查询等功能；</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 xml:space="preserve">4.多单商品可进行累单支付； </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 xml:space="preserve">5.具有隔单设置功能，防止同一单菜品被重复扣费； </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6.整机采用钢化玻璃面板，金属拉丝边框，静电喷塑，防潮湿，耐油污，所有功能模块全部采用pc/abs塑胶材料，热变型温度高达120℃以上，阻燃特性符合ul94-v0标准；</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7.一体式设计，整体集成了读写天线、主机、卡码设备；</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8.读卡、扫码设备内置在结算台内；</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9.▲台面框体带彩色灯带，可显示四种颜色，根据结算支付状态，灯带会显示不同的颜色进行提醒；</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10.▲灯带范围不小于：1400mm（长）*600mm（宽）；</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 xml:space="preserve">11.智能餐具识别区域不小于：450mm（长）*300mm（宽）； </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12.▲内存存储不低于4GB，硬盘存储不低于128GB SSD固态硬盘；</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13.主屏、客显屏均不低于15.6寸，分辨率不低于1920*1080；</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14.▲智能餐具叠放识别：不少于8个餐具进行叠放，识别时间小于200ms；</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15.▲智能餐具侧翻识别：将智能餐盘在距离结算区50-100mm的高度内侧翻0-90度，均能正确识别与结算；</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 xml:space="preserve">16.群识性能能达到20个； </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17.结算识别距离能达到100mm；</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18.卡扣费时间小于200ms，扫码扣费时间小于200ms；</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19.规格尺寸：常规，高度可调节，以适应餐线高度；</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20.餐台人脸识别结算设备参数要求如下</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处理器：高速四核1.8GHz</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操作系统：Android 8.1</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存储器：2GB RAM + 16GB ROM</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主显示屏：8英寸，分辨率1280*800，</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电容式触摸屏，支持10点触控</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卡类型：13．56MHz Mifare卡</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扫码模组：一维码、二维码</w:t>
            </w:r>
          </w:p>
          <w:p>
            <w:pPr>
              <w:jc w:val="left"/>
              <w:rPr>
                <w:rFonts w:hint="eastAsia" w:ascii="彩虹粗仿宋" w:hAnsi="宋体" w:eastAsia="彩虹粗仿宋" w:cs="宋体"/>
                <w:sz w:val="18"/>
                <w:szCs w:val="18"/>
                <w:highlight w:val="none"/>
              </w:rPr>
            </w:pPr>
            <w:r>
              <w:rPr>
                <w:rFonts w:hint="eastAsia" w:ascii="彩虹粗仿宋" w:hAnsi="宋体" w:eastAsia="彩虹粗仿宋" w:cs="宋体"/>
                <w:sz w:val="18"/>
                <w:szCs w:val="18"/>
                <w:highlight w:val="none"/>
              </w:rPr>
              <w:t>接口：USB*1，RJ45*1</w:t>
            </w:r>
          </w:p>
          <w:p>
            <w:pPr>
              <w:jc w:val="left"/>
              <w:rPr>
                <w:rFonts w:ascii="彩虹粗仿宋" w:hAnsi="宋体" w:eastAsia="彩虹粗仿宋" w:cs="宋体"/>
                <w:sz w:val="18"/>
                <w:szCs w:val="18"/>
                <w:highlight w:val="none"/>
              </w:rPr>
            </w:pPr>
            <w:r>
              <w:rPr>
                <w:rFonts w:hint="eastAsia" w:ascii="彩虹粗仿宋" w:hAnsi="宋体" w:eastAsia="彩虹粗仿宋" w:cs="宋体"/>
                <w:sz w:val="18"/>
                <w:szCs w:val="18"/>
                <w:highlight w:val="none"/>
              </w:rPr>
              <w:t>通讯：以太网/WIFI/蓝牙4.0</w:t>
            </w:r>
          </w:p>
        </w:tc>
        <w:tc>
          <w:tcPr>
            <w:tcW w:w="204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szCs w:val="21"/>
                <w:highlight w:val="none"/>
                <w:lang w:val="en-US" w:eastAsia="zh-CN"/>
              </w:rPr>
            </w:pPr>
          </w:p>
        </w:tc>
        <w:tc>
          <w:tcPr>
            <w:tcW w:w="6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Theme="minorEastAsia"/>
                <w:szCs w:val="21"/>
                <w:highlight w:val="none"/>
                <w:lang w:val="en-US" w:eastAsia="zh-CN"/>
              </w:rPr>
            </w:pPr>
            <w:r>
              <w:rPr>
                <w:rFonts w:hint="eastAsia" w:ascii="宋体" w:hAnsi="宋体"/>
                <w:szCs w:val="21"/>
                <w:highlight w:val="none"/>
                <w:lang w:val="en-US" w:eastAsia="zh-CN"/>
              </w:rPr>
              <w:t>3</w:t>
            </w:r>
          </w:p>
        </w:tc>
      </w:tr>
      <w:tr>
        <w:tblPrEx>
          <w:tblCellMar>
            <w:top w:w="15" w:type="dxa"/>
            <w:left w:w="15" w:type="dxa"/>
            <w:bottom w:w="15" w:type="dxa"/>
            <w:right w:w="15" w:type="dxa"/>
          </w:tblCellMar>
        </w:tblPrEx>
        <w:trPr>
          <w:trHeight w:val="622" w:hRule="atLeast"/>
        </w:trPr>
        <w:tc>
          <w:tcPr>
            <w:tcW w:w="10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szCs w:val="21"/>
                <w:highlight w:val="none"/>
              </w:rPr>
            </w:pPr>
            <w:r>
              <w:rPr>
                <w:rFonts w:hint="eastAsia" w:ascii="宋体" w:hAnsi="宋体" w:cs="宋体"/>
                <w:b/>
                <w:szCs w:val="21"/>
                <w:highlight w:val="none"/>
              </w:rPr>
              <w:t>合计</w:t>
            </w:r>
          </w:p>
        </w:tc>
        <w:tc>
          <w:tcPr>
            <w:tcW w:w="453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Cs w:val="21"/>
                <w:highlight w:val="none"/>
              </w:rPr>
            </w:pPr>
            <w:r>
              <w:rPr>
                <w:rFonts w:hint="eastAsia" w:ascii="彩虹粗仿宋" w:hAnsi="宋体" w:eastAsia="彩虹粗仿宋" w:cs="宋体"/>
                <w:b/>
                <w:kern w:val="0"/>
                <w:szCs w:val="21"/>
                <w:highlight w:val="none"/>
              </w:rPr>
              <w:softHyphen/>
            </w:r>
            <w:r>
              <w:rPr>
                <w:rFonts w:hint="eastAsia" w:ascii="彩虹粗仿宋" w:hAnsi="宋体" w:eastAsia="彩虹粗仿宋" w:cs="宋体"/>
                <w:b/>
                <w:kern w:val="0"/>
                <w:szCs w:val="21"/>
                <w:highlight w:val="none"/>
              </w:rPr>
              <w:t>—</w:t>
            </w:r>
          </w:p>
        </w:tc>
        <w:tc>
          <w:tcPr>
            <w:tcW w:w="20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szCs w:val="21"/>
                <w:highlight w:val="none"/>
              </w:rPr>
            </w:pPr>
          </w:p>
        </w:tc>
        <w:tc>
          <w:tcPr>
            <w:tcW w:w="6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Theme="minorEastAsia"/>
                <w:szCs w:val="21"/>
                <w:highlight w:val="none"/>
                <w:lang w:val="en-US" w:eastAsia="zh-CN"/>
              </w:rPr>
            </w:pPr>
            <w:r>
              <w:rPr>
                <w:rFonts w:hint="eastAsia" w:ascii="宋体" w:hAnsi="宋体"/>
                <w:b/>
                <w:szCs w:val="21"/>
                <w:highlight w:val="none"/>
                <w:lang w:val="en-US" w:eastAsia="zh-CN"/>
              </w:rPr>
              <w:t>21</w:t>
            </w:r>
          </w:p>
        </w:tc>
      </w:tr>
    </w:tbl>
    <w:p>
      <w:pPr>
        <w:pStyle w:val="3"/>
        <w:widowControl/>
        <w:ind w:firstLine="643"/>
        <w:rPr>
          <w:rFonts w:hint="default" w:ascii="彩虹黑体" w:eastAsia="彩虹黑体" w:cs="彩虹楷体"/>
          <w:bCs w:val="0"/>
        </w:rPr>
      </w:pPr>
      <w:r>
        <w:rPr>
          <w:rFonts w:ascii="彩虹黑体" w:eastAsia="彩虹黑体" w:cs="彩虹楷体"/>
          <w:bCs w:val="0"/>
        </w:rPr>
        <w:t>二、供应商资质要求</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（一）供应商具有独立承担民事责任的能力，遵守国家有关法律、法规，具有良好的商业信誉和健全的财务会计制度。</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二）通过“信用中国”网站（www.creditchina.gov.cn）、中国政府采购网（www.ccgp.gov.cn）查询，未被列入失信被执行人、重大税收违法案件当事人、政府采购严重违法失信行为记录名单。（提供系统截图报名时须作为附件上传）</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（三）法定代表人（负责人）为同一人或存在控股、管理关系的不同申请人，不得同时参加本项目。</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（四）供应商与建设银行不存在利益冲突，不存在损害建设银行合法利益和声誉的情形，不存在针对建设银行的重大诚信问题。</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（五）供应商在资格审查时未处于建设银行总行及福建省分行供应商禁用或退出期内。</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（六）供应商承诺在本项目采购过程中不存在下列情形，如存在下列情形之一，建设银行有权取消其候选资格。情形包括但不限于：</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1.法定代表人（负责人）在生产经营活动中受到刑事处罚；</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2.重大并购或重组，影响正常生产经营；</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3.其他重大风险事项，影响正常采购合作。</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（七）本项目不接受联合体报名申请，不容许转包和分包。</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八）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（九）供应商资质、案例经验需满足如下要求：</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1. 将乐县政府原有食堂结算系统为智能芯片结算台（智盘系统）。根据政府厉行节约要求，原有芯片餐盘、芯片碗及保温出品台需全部利旧使用。因此，投标方所投API版平台系统须与政府现有芯片餐盘、芯片碗及保温出品台实现适配，并同步提供相关技术论证材料。</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2.华东师范大学附属三明中学现有水电控系统（深圳嘉荣华）、小卖铺收银系统（排队网收银系统），投标方所投API版平台系统需同学校现有水电控系统、2个小卖铺收银系统适配。</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3.政府与学校领域对系统安全等级要求严格，根据信息安全等级保护要求，投标方所投API版平台系统在项目验收前需提供信息安全等级保护（第3级）及以上要求承诺。</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4.供应商提供的本次采购所有品类硬件设备须已完成与总行建行生活智慧食堂系统适配对接，具备批量直接供货使用条件，并提供承诺。</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5.供应商应根据项目需求，免费提供已与建信金科完成API接口对接的软件平台。</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6.供应商应具备相关经验，在建行系统内有智慧食堂服务案例，并提供近3年以来承接过的同类项目服务业绩（以合同签订日期为准，提供合同原件扫描件）。</w:t>
      </w:r>
    </w:p>
    <w:p>
      <w:pPr>
        <w:spacing w:line="560" w:lineRule="exact"/>
        <w:ind w:firstLine="560" w:firstLineChars="200"/>
        <w:rPr>
          <w:rFonts w:hint="eastAsia" w:ascii="彩虹粗仿宋" w:hAnsi="微软雅黑" w:eastAsia="彩虹粗仿宋" w:cs="宋体"/>
          <w:b w:val="0"/>
          <w:bCs w:val="0"/>
          <w:color w:val="000000"/>
          <w:kern w:val="0"/>
          <w:sz w:val="28"/>
          <w:szCs w:val="28"/>
          <w:lang w:val="en-US" w:eastAsia="zh-CN"/>
        </w:rPr>
      </w:pPr>
      <w:r>
        <w:rPr>
          <w:rFonts w:hint="eastAsia" w:ascii="彩虹粗仿宋" w:hAnsi="微软雅黑" w:eastAsia="彩虹粗仿宋" w:cs="宋体"/>
          <w:b w:val="0"/>
          <w:bCs w:val="0"/>
          <w:color w:val="000000"/>
          <w:kern w:val="0"/>
          <w:sz w:val="28"/>
          <w:szCs w:val="28"/>
          <w:lang w:val="en-US" w:eastAsia="zh-CN"/>
        </w:rPr>
        <w:t>7.供应商须提供增值税专用发票。</w:t>
      </w:r>
    </w:p>
    <w:p>
      <w:pPr>
        <w:spacing w:line="560" w:lineRule="exact"/>
        <w:ind w:firstLine="640" w:firstLineChars="200"/>
        <w:rPr>
          <w:rFonts w:ascii="彩虹黑体" w:hAnsi="彩虹黑体" w:eastAsia="彩虹黑体" w:cs="彩虹黑体"/>
          <w:sz w:val="32"/>
          <w:szCs w:val="40"/>
        </w:rPr>
      </w:pPr>
      <w:r>
        <w:rPr>
          <w:rFonts w:hint="eastAsia" w:ascii="彩虹黑体" w:hAnsi="彩虹黑体" w:eastAsia="彩虹黑体" w:cs="彩虹黑体"/>
          <w:sz w:val="32"/>
          <w:szCs w:val="40"/>
        </w:rPr>
        <w:t>三、合同期限</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合同期限自签署之日起至20</w:t>
      </w:r>
      <w:r>
        <w:rPr>
          <w:rFonts w:hint="eastAsia" w:ascii="彩虹粗仿宋" w:hAnsi="宋体" w:eastAsia="彩虹粗仿宋"/>
          <w:snapToGrid w:val="0"/>
          <w:kern w:val="0"/>
          <w:sz w:val="28"/>
          <w:szCs w:val="28"/>
          <w:lang w:val="en-US" w:eastAsia="zh-CN"/>
        </w:rPr>
        <w:t>30</w:t>
      </w:r>
      <w:r>
        <w:rPr>
          <w:rFonts w:hint="eastAsia" w:ascii="彩虹粗仿宋" w:hAnsi="宋体" w:eastAsia="彩虹粗仿宋"/>
          <w:snapToGrid w:val="0"/>
          <w:kern w:val="0"/>
          <w:sz w:val="28"/>
          <w:szCs w:val="28"/>
        </w:rPr>
        <w:t>年</w:t>
      </w:r>
      <w:r>
        <w:rPr>
          <w:rFonts w:hint="eastAsia" w:ascii="彩虹粗仿宋" w:hAnsi="宋体" w:eastAsia="彩虹粗仿宋"/>
          <w:snapToGrid w:val="0"/>
          <w:kern w:val="0"/>
          <w:sz w:val="28"/>
          <w:szCs w:val="28"/>
          <w:lang w:val="en-US" w:eastAsia="zh-CN"/>
        </w:rPr>
        <w:t>10</w:t>
      </w:r>
      <w:r>
        <w:rPr>
          <w:rFonts w:hint="eastAsia" w:ascii="彩虹粗仿宋" w:hAnsi="宋体" w:eastAsia="彩虹粗仿宋"/>
          <w:snapToGrid w:val="0"/>
          <w:kern w:val="0"/>
          <w:sz w:val="28"/>
          <w:szCs w:val="28"/>
        </w:rPr>
        <w:t>月</w:t>
      </w:r>
      <w:r>
        <w:rPr>
          <w:rFonts w:hint="eastAsia" w:ascii="彩虹粗仿宋" w:hAnsi="宋体" w:eastAsia="彩虹粗仿宋"/>
          <w:snapToGrid w:val="0"/>
          <w:kern w:val="0"/>
          <w:sz w:val="28"/>
          <w:szCs w:val="28"/>
          <w:lang w:val="en-US" w:eastAsia="zh-CN"/>
        </w:rPr>
        <w:t>17</w:t>
      </w:r>
      <w:r>
        <w:rPr>
          <w:rFonts w:hint="eastAsia" w:ascii="彩虹粗仿宋" w:hAnsi="宋体" w:eastAsia="彩虹粗仿宋"/>
          <w:snapToGrid w:val="0"/>
          <w:kern w:val="0"/>
          <w:sz w:val="28"/>
          <w:szCs w:val="28"/>
        </w:rPr>
        <w:t xml:space="preserve">日。 </w:t>
      </w:r>
    </w:p>
    <w:p>
      <w:pPr>
        <w:pStyle w:val="3"/>
        <w:widowControl/>
        <w:ind w:firstLine="640"/>
        <w:rPr>
          <w:rFonts w:hint="default" w:ascii="彩虹黑体" w:eastAsia="彩虹黑体" w:cs="彩虹楷体"/>
          <w:b w:val="0"/>
          <w:bCs w:val="0"/>
        </w:rPr>
      </w:pPr>
      <w:r>
        <w:rPr>
          <w:rFonts w:ascii="彩虹黑体" w:eastAsia="彩虹黑体" w:cs="彩虹楷体"/>
          <w:b w:val="0"/>
          <w:bCs w:val="0"/>
        </w:rPr>
        <w:t>四、报价要求</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供应商报价应为含税价，须包含设备费、运输费、包装费、调试费、配套软件、系统及程序对接、持续优化接口、软硬件维保费等提供产品过程中发生的一切费用。开具增值税专用发票。</w:t>
      </w:r>
    </w:p>
    <w:p>
      <w:pPr>
        <w:pStyle w:val="3"/>
        <w:widowControl/>
        <w:ind w:firstLine="640"/>
        <w:rPr>
          <w:rFonts w:hint="default" w:ascii="彩虹黑体" w:eastAsia="彩虹黑体" w:cs="彩虹楷体"/>
          <w:b w:val="0"/>
          <w:bCs w:val="0"/>
        </w:rPr>
      </w:pPr>
      <w:r>
        <w:rPr>
          <w:rFonts w:ascii="彩虹黑体" w:eastAsia="彩虹黑体" w:cs="彩虹楷体"/>
          <w:b w:val="0"/>
          <w:bCs w:val="0"/>
        </w:rPr>
        <w:t>五、款项支付</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1.自货到验收且安装正常使用后，在收到供应商发票后1个月内，支付当笔订单应付金额的95% ；</w:t>
      </w:r>
    </w:p>
    <w:p>
      <w:pPr>
        <w:spacing w:line="560" w:lineRule="exac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2.自收货验收且正常使用</w:t>
      </w:r>
      <w:r>
        <w:rPr>
          <w:rFonts w:hint="eastAsia" w:ascii="彩虹粗仿宋" w:hAnsi="宋体" w:eastAsia="彩虹粗仿宋"/>
          <w:snapToGrid w:val="0"/>
          <w:kern w:val="0"/>
          <w:sz w:val="28"/>
          <w:szCs w:val="28"/>
          <w:lang w:val="en-US" w:eastAsia="zh-CN"/>
        </w:rPr>
        <w:t>5</w:t>
      </w:r>
      <w:r>
        <w:rPr>
          <w:rFonts w:hint="eastAsia" w:ascii="彩虹粗仿宋" w:hAnsi="宋体" w:eastAsia="彩虹粗仿宋"/>
          <w:snapToGrid w:val="0"/>
          <w:kern w:val="0"/>
          <w:sz w:val="28"/>
          <w:szCs w:val="28"/>
        </w:rPr>
        <w:t>年后，向供应商支付剩余5% 款项。</w:t>
      </w:r>
    </w:p>
    <w:p>
      <w:pPr>
        <w:pStyle w:val="3"/>
        <w:widowControl/>
        <w:ind w:firstLine="640"/>
        <w:rPr>
          <w:rFonts w:hint="default" w:ascii="彩虹黑体" w:eastAsia="彩虹黑体" w:cs="彩虹楷体"/>
          <w:b w:val="0"/>
          <w:bCs w:val="0"/>
        </w:rPr>
      </w:pPr>
      <w:r>
        <w:rPr>
          <w:rFonts w:ascii="彩虹黑体" w:eastAsia="彩虹黑体" w:cs="彩虹楷体"/>
          <w:b w:val="0"/>
          <w:bCs w:val="0"/>
        </w:rPr>
        <w:t>六、供应商服务要求</w:t>
      </w:r>
    </w:p>
    <w:p>
      <w:pPr>
        <w:pStyle w:val="3"/>
        <w:widowControl/>
        <w:ind w:firstLine="643"/>
        <w:rPr>
          <w:rFonts w:hint="default" w:ascii="彩虹粗仿宋" w:hAnsi="宋体" w:eastAsia="彩虹粗仿宋"/>
          <w:bCs w:val="0"/>
          <w:snapToGrid w:val="0"/>
          <w:kern w:val="0"/>
        </w:rPr>
      </w:pPr>
      <w:r>
        <w:rPr>
          <w:rFonts w:ascii="彩虹粗仿宋" w:hAnsi="宋体" w:eastAsia="彩虹粗仿宋"/>
          <w:bCs w:val="0"/>
          <w:snapToGrid w:val="0"/>
          <w:kern w:val="0"/>
        </w:rPr>
        <w:t>（一）技术、环保、质量要求</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1</w:t>
      </w:r>
      <w:r>
        <w:rPr>
          <w:rFonts w:ascii="彩虹粗仿宋" w:hAnsi="宋体" w:eastAsia="彩虹粗仿宋"/>
          <w:snapToGrid w:val="0"/>
          <w:kern w:val="0"/>
          <w:sz w:val="28"/>
          <w:szCs w:val="28"/>
        </w:rPr>
        <w:t>.</w:t>
      </w:r>
      <w:r>
        <w:rPr>
          <w:rFonts w:hint="eastAsia" w:ascii="彩虹粗仿宋" w:hAnsi="宋体" w:eastAsia="彩虹粗仿宋"/>
          <w:snapToGrid w:val="0"/>
          <w:kern w:val="0"/>
          <w:sz w:val="28"/>
          <w:szCs w:val="28"/>
        </w:rPr>
        <w:t>供应商须保证提供的产品已通过原厂商质量测试和检验，并附带质量合格证书。产品内附质量说明或使用说明的，保证产品质量与内附说明一致，保证产品能按照产品内附说明在本项目中正常运行或使用。</w:t>
      </w:r>
    </w:p>
    <w:p>
      <w:pPr>
        <w:adjustRightInd w:val="0"/>
        <w:snapToGrid w:val="0"/>
        <w:spacing w:line="560" w:lineRule="atLeast"/>
        <w:ind w:firstLine="560" w:firstLineChars="200"/>
        <w:rPr>
          <w:rFonts w:ascii="彩虹粗仿宋" w:hAnsi="宋体" w:eastAsia="彩虹粗仿宋"/>
          <w:snapToGrid w:val="0"/>
          <w:sz w:val="28"/>
          <w:szCs w:val="28"/>
        </w:rPr>
      </w:pPr>
      <w:r>
        <w:rPr>
          <w:rFonts w:ascii="彩虹粗仿宋" w:hAnsi="宋体" w:eastAsia="彩虹粗仿宋"/>
          <w:snapToGrid w:val="0"/>
          <w:sz w:val="28"/>
          <w:szCs w:val="28"/>
        </w:rPr>
        <w:t>2.</w:t>
      </w:r>
      <w:r>
        <w:rPr>
          <w:rFonts w:hint="eastAsia" w:ascii="彩虹粗仿宋" w:hAnsi="宋体" w:eastAsia="彩虹粗仿宋"/>
          <w:snapToGrid w:val="0"/>
          <w:sz w:val="28"/>
          <w:szCs w:val="28"/>
        </w:rPr>
        <w:t>设备包装应采取防潮、防雨、防锈、防震、防磁等保护措施的兼顾包装，</w:t>
      </w:r>
      <w:r>
        <w:rPr>
          <w:rFonts w:hint="eastAsia" w:ascii="彩虹粗仿宋" w:hAnsi="宋体" w:eastAsia="彩虹粗仿宋"/>
          <w:snapToGrid w:val="0"/>
          <w:kern w:val="0"/>
          <w:sz w:val="28"/>
          <w:szCs w:val="28"/>
        </w:rPr>
        <w:t>以确保产品安全无损地到达交货地点，</w:t>
      </w:r>
      <w:r>
        <w:rPr>
          <w:rFonts w:hint="eastAsia" w:ascii="彩虹粗仿宋" w:hAnsi="宋体" w:eastAsia="彩虹粗仿宋"/>
          <w:snapToGrid w:val="0"/>
          <w:sz w:val="28"/>
          <w:szCs w:val="28"/>
        </w:rPr>
        <w:t>设备运输、包装、装卸及运输保险费用由供应商承担。供应商应按照以上运输要求向我行或其分支机构供货。</w:t>
      </w:r>
    </w:p>
    <w:p>
      <w:pPr>
        <w:pStyle w:val="3"/>
        <w:widowControl/>
        <w:ind w:firstLine="643"/>
        <w:rPr>
          <w:rFonts w:hint="default" w:cs="彩虹楷体"/>
          <w:bCs w:val="0"/>
        </w:rPr>
      </w:pPr>
      <w:r>
        <w:rPr>
          <w:rFonts w:cs="彩虹楷体"/>
          <w:bCs w:val="0"/>
        </w:rPr>
        <w:t>（二）生产、供货要求</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1</w:t>
      </w:r>
      <w:r>
        <w:rPr>
          <w:rFonts w:ascii="彩虹粗仿宋" w:hAnsi="宋体" w:eastAsia="彩虹粗仿宋"/>
          <w:snapToGrid w:val="0"/>
          <w:kern w:val="0"/>
          <w:sz w:val="28"/>
          <w:szCs w:val="28"/>
        </w:rPr>
        <w:t>.</w:t>
      </w:r>
      <w:r>
        <w:rPr>
          <w:rFonts w:hint="eastAsia" w:ascii="彩虹粗仿宋" w:hAnsi="宋体" w:eastAsia="彩虹粗仿宋"/>
          <w:snapToGrid w:val="0"/>
          <w:kern w:val="0"/>
          <w:sz w:val="28"/>
          <w:szCs w:val="28"/>
        </w:rPr>
        <w:t>供应商在收到我行龙集采采购订单之日起</w:t>
      </w:r>
      <w:r>
        <w:rPr>
          <w:rFonts w:ascii="彩虹粗仿宋" w:eastAsia="彩虹粗仿宋"/>
          <w:snapToGrid w:val="0"/>
          <w:kern w:val="0"/>
          <w:sz w:val="28"/>
          <w:szCs w:val="28"/>
        </w:rPr>
        <w:t>7</w:t>
      </w:r>
      <w:r>
        <w:rPr>
          <w:rFonts w:hint="eastAsia" w:ascii="彩虹粗仿宋" w:eastAsia="彩虹粗仿宋"/>
          <w:snapToGrid w:val="0"/>
          <w:kern w:val="0"/>
          <w:sz w:val="28"/>
          <w:szCs w:val="28"/>
        </w:rPr>
        <w:t>个工作日内将设备配送至我行指定的交货地点交货（</w:t>
      </w:r>
      <w:r>
        <w:rPr>
          <w:rFonts w:hint="eastAsia" w:ascii="彩虹粗仿宋" w:eastAsia="彩虹粗仿宋"/>
          <w:snapToGrid w:val="0"/>
          <w:kern w:val="0"/>
          <w:sz w:val="28"/>
          <w:szCs w:val="28"/>
          <w:lang w:val="en-US" w:eastAsia="zh-CN"/>
        </w:rPr>
        <w:t>建宁县政府</w:t>
      </w:r>
      <w:r>
        <w:rPr>
          <w:rFonts w:hint="eastAsia" w:ascii="彩虹粗仿宋" w:eastAsia="彩虹粗仿宋"/>
          <w:snapToGrid w:val="0"/>
          <w:kern w:val="0"/>
          <w:sz w:val="28"/>
          <w:szCs w:val="28"/>
        </w:rPr>
        <w:t>），</w:t>
      </w:r>
      <w:r>
        <w:rPr>
          <w:rFonts w:hint="eastAsia" w:ascii="彩虹粗仿宋" w:hAnsi="宋体" w:eastAsia="彩虹粗仿宋"/>
          <w:snapToGrid w:val="0"/>
          <w:kern w:val="0"/>
          <w:sz w:val="28"/>
          <w:szCs w:val="28"/>
        </w:rPr>
        <w:t>包装、运输、装卸及运输保险费用由供应商承担，收货后无需我行再进行功能设置，具备直接开机启用的条件。如有特殊情况，以双方共同协商的供货时间为准。</w:t>
      </w:r>
    </w:p>
    <w:p>
      <w:pPr>
        <w:adjustRightInd w:val="0"/>
        <w:snapToGrid w:val="0"/>
        <w:spacing w:line="560" w:lineRule="atLeast"/>
        <w:ind w:firstLine="560" w:firstLineChars="200"/>
        <w:rPr>
          <w:rFonts w:ascii="彩虹粗仿宋" w:hAnsi="宋体" w:eastAsia="彩虹粗仿宋"/>
          <w:snapToGrid w:val="0"/>
          <w:sz w:val="28"/>
          <w:szCs w:val="28"/>
        </w:rPr>
      </w:pPr>
      <w:r>
        <w:rPr>
          <w:rFonts w:hint="eastAsia" w:ascii="彩虹粗仿宋" w:hAnsi="宋体" w:eastAsia="彩虹粗仿宋"/>
          <w:snapToGrid w:val="0"/>
          <w:kern w:val="0"/>
          <w:sz w:val="28"/>
          <w:szCs w:val="28"/>
        </w:rPr>
        <w:t>2</w:t>
      </w:r>
      <w:r>
        <w:rPr>
          <w:rFonts w:ascii="彩虹粗仿宋" w:hAnsi="宋体" w:eastAsia="彩虹粗仿宋"/>
          <w:snapToGrid w:val="0"/>
          <w:kern w:val="0"/>
          <w:sz w:val="28"/>
          <w:szCs w:val="28"/>
        </w:rPr>
        <w:t>.</w:t>
      </w:r>
      <w:r>
        <w:rPr>
          <w:rFonts w:hint="eastAsia" w:ascii="彩虹粗仿宋" w:hAnsi="宋体" w:eastAsia="彩虹粗仿宋"/>
          <w:snapToGrid w:val="0"/>
          <w:kern w:val="0"/>
          <w:sz w:val="28"/>
          <w:szCs w:val="28"/>
        </w:rPr>
        <w:t>设备运抵交货地后，</w:t>
      </w:r>
      <w:r>
        <w:rPr>
          <w:rFonts w:hint="eastAsia" w:ascii="彩虹粗仿宋" w:eastAsia="彩虹粗仿宋"/>
          <w:snapToGrid w:val="0"/>
          <w:kern w:val="0"/>
          <w:sz w:val="28"/>
          <w:szCs w:val="28"/>
        </w:rPr>
        <w:t>我行</w:t>
      </w:r>
      <w:r>
        <w:rPr>
          <w:rFonts w:hint="eastAsia" w:ascii="彩虹粗仿宋" w:hAnsi="宋体" w:eastAsia="彩虹粗仿宋"/>
          <w:snapToGrid w:val="0"/>
          <w:kern w:val="0"/>
          <w:sz w:val="28"/>
          <w:szCs w:val="28"/>
        </w:rPr>
        <w:t>在</w:t>
      </w:r>
      <w:r>
        <w:rPr>
          <w:rFonts w:ascii="彩虹粗仿宋" w:hAnsi="宋体" w:eastAsia="彩虹粗仿宋"/>
          <w:snapToGrid w:val="0"/>
          <w:kern w:val="0"/>
          <w:sz w:val="28"/>
          <w:szCs w:val="28"/>
        </w:rPr>
        <w:t>5</w:t>
      </w:r>
      <w:r>
        <w:rPr>
          <w:rFonts w:hint="eastAsia" w:ascii="彩虹粗仿宋" w:hAnsi="宋体" w:eastAsia="彩虹粗仿宋"/>
          <w:snapToGrid w:val="0"/>
          <w:kern w:val="0"/>
          <w:sz w:val="28"/>
          <w:szCs w:val="28"/>
        </w:rPr>
        <w:t>个工作日内进行验收，设备验收范围包括设备的型号、数量、外型、外观、包装等。供应商须提供设备装箱清单及设备质量检验合格证书、设备原产地证书、保修单、随箱介质等文件资料。设备在交货过程中发生意外事故以及其他原因造成的损失和风险由供应商承担。</w:t>
      </w:r>
    </w:p>
    <w:p>
      <w:pPr>
        <w:pStyle w:val="3"/>
        <w:widowControl/>
        <w:ind w:firstLine="643"/>
        <w:rPr>
          <w:rFonts w:hint="default" w:cs="彩虹楷体"/>
          <w:bCs w:val="0"/>
        </w:rPr>
      </w:pPr>
      <w:r>
        <w:rPr>
          <w:rFonts w:cs="彩虹楷体"/>
          <w:bCs w:val="0"/>
        </w:rPr>
        <w:t>（三）售后服务要求</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1.供应商须提供设备维护支持服务提供方为供应商。所采购设备自验收合格之日起享受不少于</w:t>
      </w:r>
      <w:r>
        <w:rPr>
          <w:rFonts w:hint="eastAsia" w:ascii="彩虹粗仿宋" w:hAnsi="宋体" w:eastAsia="彩虹粗仿宋"/>
          <w:snapToGrid w:val="0"/>
          <w:kern w:val="0"/>
          <w:sz w:val="28"/>
          <w:szCs w:val="28"/>
          <w:lang w:val="en-US" w:eastAsia="zh-CN"/>
        </w:rPr>
        <w:t>5</w:t>
      </w:r>
      <w:r>
        <w:rPr>
          <w:rFonts w:hint="eastAsia" w:ascii="彩虹粗仿宋" w:hAnsi="宋体" w:eastAsia="彩虹粗仿宋"/>
          <w:snapToGrid w:val="0"/>
          <w:kern w:val="0"/>
          <w:sz w:val="28"/>
          <w:szCs w:val="28"/>
        </w:rPr>
        <w:t>年的免费维保期。免费维保期内所有因更换或修理部件、模块而导致设备停止运行的，免费维保期将按停运天数（按24小时计算）相应延长。在维保期内，供应商需提供以下服务支持：</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（1）供应商须提供现场设备安装及现场使用培训服务，协助我行及设备使用方完成设备安装及智慧食堂软件系统初始化，确保设备顺利投产启用。</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（2）供应商须针对我行及设备使用方提供7</w:t>
      </w:r>
      <w:r>
        <w:rPr>
          <w:rFonts w:hint="eastAsia" w:ascii="彩虹粗仿宋" w:hAnsi="宋体" w:eastAsia="彩虹粗仿宋" w:cs="彩虹粗仿宋"/>
          <w:snapToGrid w:val="0"/>
          <w:kern w:val="0"/>
          <w:sz w:val="28"/>
          <w:szCs w:val="28"/>
        </w:rPr>
        <w:t>*</w:t>
      </w:r>
      <w:r>
        <w:rPr>
          <w:rFonts w:hint="eastAsia" w:ascii="彩虹粗仿宋" w:hAnsi="宋体" w:eastAsia="彩虹粗仿宋"/>
          <w:snapToGrid w:val="0"/>
          <w:kern w:val="0"/>
          <w:sz w:val="28"/>
          <w:szCs w:val="28"/>
        </w:rPr>
        <w:t>24小时热线电话、网络等远程技术支持服务，对使用过程中出现的一般性问题提供咨询解答。</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3）产品出现故障时，供应商通过远程技术支持方式指导产品使用人排查、解决故障。若产品无法在4小时内解决恢复正常运行或使用，则供应商应当首先用功能相同的备件、备用产品替换故障部件、故障产品或按照我行要求采取其他补救措施。</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sz w:val="28"/>
          <w:szCs w:val="28"/>
        </w:rPr>
        <w:t>（4）</w:t>
      </w:r>
      <w:r>
        <w:rPr>
          <w:rFonts w:ascii="彩虹粗仿宋" w:hAnsi="宋体" w:eastAsia="彩虹粗仿宋"/>
          <w:snapToGrid w:val="0"/>
          <w:sz w:val="28"/>
          <w:szCs w:val="28"/>
        </w:rPr>
        <w:t>供应商须</w:t>
      </w:r>
      <w:r>
        <w:rPr>
          <w:rFonts w:hint="eastAsia" w:ascii="彩虹粗仿宋" w:hAnsi="宋体" w:eastAsia="彩虹粗仿宋"/>
          <w:snapToGrid w:val="0"/>
          <w:kern w:val="0"/>
          <w:sz w:val="28"/>
          <w:szCs w:val="28"/>
        </w:rPr>
        <w:t>及时处理设备出现的问题，处理时间不得超过</w:t>
      </w:r>
      <w:r>
        <w:rPr>
          <w:rFonts w:ascii="彩虹粗仿宋" w:hAnsi="宋体" w:eastAsia="彩虹粗仿宋"/>
          <w:snapToGrid w:val="0"/>
          <w:kern w:val="0"/>
          <w:sz w:val="28"/>
          <w:szCs w:val="28"/>
        </w:rPr>
        <w:t>2</w:t>
      </w:r>
      <w:r>
        <w:rPr>
          <w:rFonts w:hint="eastAsia" w:ascii="彩虹粗仿宋" w:hAnsi="宋体" w:eastAsia="彩虹粗仿宋"/>
          <w:snapToGrid w:val="0"/>
          <w:kern w:val="0"/>
          <w:sz w:val="28"/>
          <w:szCs w:val="28"/>
        </w:rPr>
        <w:t>个工作日，如遇重大故障且需更换零部件的问题，不得影响正常使用，必须更换新设备以替换故障设备，处理时间不得超过</w:t>
      </w:r>
      <w:r>
        <w:rPr>
          <w:rFonts w:ascii="彩虹粗仿宋" w:hAnsi="宋体" w:eastAsia="彩虹粗仿宋"/>
          <w:snapToGrid w:val="0"/>
          <w:kern w:val="0"/>
          <w:sz w:val="28"/>
          <w:szCs w:val="28"/>
        </w:rPr>
        <w:t>5</w:t>
      </w:r>
      <w:r>
        <w:rPr>
          <w:rFonts w:hint="eastAsia" w:ascii="彩虹粗仿宋" w:hAnsi="宋体" w:eastAsia="彩虹粗仿宋"/>
          <w:snapToGrid w:val="0"/>
          <w:kern w:val="0"/>
          <w:sz w:val="28"/>
          <w:szCs w:val="28"/>
        </w:rPr>
        <w:t>个工作日。</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w:t>
      </w:r>
      <w:r>
        <w:rPr>
          <w:rFonts w:hint="eastAsia" w:ascii="彩虹粗仿宋" w:hAnsi="宋体" w:eastAsia="彩虹粗仿宋"/>
          <w:snapToGrid w:val="0"/>
          <w:kern w:val="0"/>
          <w:sz w:val="28"/>
          <w:szCs w:val="28"/>
          <w:lang w:val="en-US" w:eastAsia="zh-CN"/>
        </w:rPr>
        <w:t>5</w:t>
      </w:r>
      <w:r>
        <w:rPr>
          <w:rFonts w:hint="eastAsia" w:ascii="彩虹粗仿宋" w:hAnsi="宋体" w:eastAsia="彩虹粗仿宋"/>
          <w:snapToGrid w:val="0"/>
          <w:kern w:val="0"/>
          <w:sz w:val="28"/>
          <w:szCs w:val="28"/>
        </w:rPr>
        <w:t>）供应商发现设备硬件及系统有设计缺陷和质量问题时应主动通知我行，并免费进行硬件的更新和系统的升级。供应商须协助我行进行所购设备管理系统的建设，免费提供相关的系统程序和技术参数。</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2.培训服务</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供应商须免费为我行和设备使用方要求提供规范的专业技术培训，并提供配套产品宣传资料，使我行和设备使用方熟悉了解和掌握设备的性能和操作，并能解决设备的常见问题。</w:t>
      </w:r>
    </w:p>
    <w:p>
      <w:pPr>
        <w:ind w:firstLine="640" w:firstLineChars="200"/>
        <w:rPr>
          <w:rFonts w:ascii="彩虹粗仿宋" w:eastAsia="彩虹粗仿宋"/>
          <w:sz w:val="32"/>
          <w:szCs w:val="32"/>
        </w:rPr>
      </w:pPr>
      <w:r>
        <w:rPr>
          <w:rFonts w:hint="eastAsia" w:ascii="彩虹黑体" w:hAnsi="宋体" w:eastAsia="彩虹黑体" w:cs="Times New Roman"/>
          <w:snapToGrid w:val="0"/>
          <w:kern w:val="0"/>
          <w:sz w:val="32"/>
          <w:szCs w:val="32"/>
        </w:rPr>
        <w:t>七、保密要求</w:t>
      </w:r>
    </w:p>
    <w:p>
      <w:pPr>
        <w:spacing w:line="572" w:lineRule="exact"/>
        <w:ind w:firstLine="66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供应商应对与我行的合作内容、业务数据、商业秘密、客户信息等所有信息和经声明的保密资料负永久保密义务，不得提供泄露上述内容予任何第三方（如因遵守法律法规规定或有权机关的要求而进行披露的除外），亦不得使用相关资料用于本合作项目以外的任何用途。</w:t>
      </w:r>
    </w:p>
    <w:p>
      <w:pPr>
        <w:ind w:firstLine="560" w:firstLineChars="200"/>
        <w:rPr>
          <w:rFonts w:ascii="彩虹粗仿宋" w:eastAsia="彩虹粗仿宋"/>
          <w:sz w:val="28"/>
          <w:szCs w:val="28"/>
        </w:rPr>
      </w:pPr>
      <w:r>
        <w:rPr>
          <w:rFonts w:hint="eastAsia" w:ascii="彩虹粗仿宋" w:eastAsia="彩虹粗仿宋"/>
          <w:sz w:val="28"/>
          <w:szCs w:val="28"/>
        </w:rPr>
        <w:t>对在业务合作中所接触或者获知的商业机密等信息负有保密责任。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本合同谈判前接受方已独立开发的信息。合作双方均应对合作内容、客户信息、账户信息、交易信息及有关数据和资料负永久保密义务，未经披露方书面同意，接受方不得将保密信息用于本合同以外的目的，并不得将其泄漏给任何第三方。接受方的雇员或关联公司为履行本合同约定而必须接触相关保密信息时，接受方可以将此部分保密信息披露给该雇员或关联公司，但接受方应当告知该雇员或关联公司相关的保密义务并和其签署书面保密协议，使其承担不低于本保密条款约定的保密义务。接受方或其雇员（无论该雇员是否已从接受方离职）、关联公司在本条约定的保密期限内违反保密义务的，接受方应当对披露方因此所遭受的损失承担赔偿责任。</w:t>
      </w:r>
    </w:p>
    <w:p>
      <w:pPr>
        <w:ind w:firstLine="640" w:firstLineChars="200"/>
        <w:rPr>
          <w:rFonts w:ascii="彩虹黑体" w:eastAsia="彩虹黑体"/>
          <w:sz w:val="32"/>
          <w:szCs w:val="32"/>
        </w:rPr>
      </w:pPr>
      <w:r>
        <w:rPr>
          <w:rFonts w:hint="eastAsia" w:ascii="彩虹黑体" w:hAnsi="宋体" w:eastAsia="彩虹黑体" w:cs="Times New Roman"/>
          <w:snapToGrid w:val="0"/>
          <w:kern w:val="0"/>
          <w:sz w:val="32"/>
          <w:szCs w:val="32"/>
        </w:rPr>
        <w:t>八、违约责任</w:t>
      </w:r>
    </w:p>
    <w:p>
      <w:pPr>
        <w:ind w:firstLine="560" w:firstLineChars="200"/>
        <w:rPr>
          <w:rFonts w:ascii="彩虹粗仿宋" w:eastAsia="彩虹粗仿宋"/>
          <w:sz w:val="28"/>
          <w:szCs w:val="28"/>
        </w:rPr>
      </w:pPr>
      <w:r>
        <w:rPr>
          <w:rFonts w:hint="eastAsia" w:ascii="彩虹粗仿宋" w:hAnsi="宋体" w:eastAsia="彩虹粗仿宋" w:cs="彩虹粗仿宋"/>
          <w:snapToGrid w:val="0"/>
          <w:kern w:val="0"/>
          <w:sz w:val="28"/>
          <w:szCs w:val="28"/>
        </w:rPr>
        <w:t>供应商提供商品或服务过程中弄虚作假，故意或重大过失，包括商品、服务存在质量瑕疵、以次充好、延期交货、延期取货、延期退换货而导致任何损失时，均视为违约由此造成的一切经济损失，由供应商承担全部赔偿责任。同时对于出现违约情形，供应商应承担本次订单金额的5%的违约金，并在收到我行书面通知后5个工作日内向我行支付违约金</w:t>
      </w:r>
      <w:r>
        <w:rPr>
          <w:rFonts w:hint="eastAsia" w:ascii="彩虹粗仿宋" w:eastAsia="彩虹粗仿宋"/>
          <w:sz w:val="28"/>
          <w:szCs w:val="28"/>
        </w:rPr>
        <w:t>进行赔偿。</w:t>
      </w:r>
    </w:p>
    <w:p>
      <w:pPr>
        <w:ind w:firstLine="640" w:firstLineChars="200"/>
        <w:rPr>
          <w:rFonts w:ascii="彩虹黑体" w:eastAsia="彩虹黑体" w:cs="彩虹楷体"/>
          <w:b/>
          <w:bCs/>
        </w:rPr>
      </w:pPr>
      <w:r>
        <w:rPr>
          <w:rFonts w:hint="eastAsia" w:ascii="彩虹黑体" w:hAnsi="宋体" w:eastAsia="彩虹黑体" w:cs="Times New Roman"/>
          <w:snapToGrid w:val="0"/>
          <w:kern w:val="0"/>
          <w:sz w:val="32"/>
          <w:szCs w:val="32"/>
        </w:rPr>
        <w:t>九</w:t>
      </w:r>
      <w:r>
        <w:rPr>
          <w:rFonts w:ascii="彩虹黑体" w:hAnsi="宋体" w:eastAsia="彩虹黑体" w:cs="Times New Roman"/>
          <w:snapToGrid w:val="0"/>
          <w:kern w:val="0"/>
          <w:sz w:val="32"/>
          <w:szCs w:val="32"/>
        </w:rPr>
        <w:t>、其他要求</w:t>
      </w:r>
    </w:p>
    <w:p>
      <w:pPr>
        <w:adjustRightInd w:val="0"/>
        <w:snapToGrid w:val="0"/>
        <w:spacing w:line="560" w:lineRule="atLeast"/>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1.维保期内若遇到建总行智慧食堂标准版本升级，供应商须免费对设备版本进行升级。</w:t>
      </w:r>
    </w:p>
    <w:p>
      <w:pPr>
        <w:adjustRightInd w:val="0"/>
        <w:snapToGrid w:val="0"/>
        <w:spacing w:line="560" w:lineRule="atLeast"/>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2</w:t>
      </w:r>
      <w:r>
        <w:rPr>
          <w:rFonts w:ascii="彩虹粗仿宋" w:hAnsi="宋体" w:eastAsia="彩虹粗仿宋"/>
          <w:snapToGrid w:val="0"/>
          <w:kern w:val="0"/>
          <w:sz w:val="28"/>
          <w:szCs w:val="28"/>
        </w:rPr>
        <w:t>.</w:t>
      </w:r>
      <w:r>
        <w:rPr>
          <w:rFonts w:hint="eastAsia" w:ascii="彩虹粗仿宋" w:hAnsi="宋体" w:eastAsia="彩虹粗仿宋"/>
          <w:snapToGrid w:val="0"/>
          <w:kern w:val="0"/>
          <w:sz w:val="28"/>
          <w:szCs w:val="28"/>
        </w:rPr>
        <w:t>供应商提供的配套软件如有功能升级，须免费提供软件升级服务。</w:t>
      </w:r>
    </w:p>
    <w:p>
      <w:pPr>
        <w:adjustRightInd w:val="0"/>
        <w:snapToGrid w:val="0"/>
        <w:spacing w:line="560" w:lineRule="atLeast"/>
        <w:ind w:firstLine="560" w:firstLineChars="200"/>
        <w:rPr>
          <w:rFonts w:hint="eastAsia" w:ascii="彩虹粗仿宋" w:hAnsi="宋体" w:eastAsia="彩虹粗仿宋"/>
          <w:snapToGrid w:val="0"/>
          <w:kern w:val="0"/>
          <w:sz w:val="28"/>
          <w:szCs w:val="28"/>
        </w:rPr>
      </w:pPr>
      <w:bookmarkStart w:id="0" w:name="_GoBack"/>
      <w:bookmarkEnd w:id="0"/>
    </w:p>
    <w:p>
      <w:pPr>
        <w:adjustRightInd w:val="0"/>
        <w:snapToGrid w:val="0"/>
        <w:spacing w:line="560" w:lineRule="atLeast"/>
        <w:ind w:firstLine="723" w:firstLineChars="200"/>
        <w:rPr>
          <w:rFonts w:ascii="彩虹粗仿宋" w:hAnsi="微软雅黑" w:eastAsia="彩虹粗仿宋"/>
          <w:sz w:val="32"/>
          <w:szCs w:val="32"/>
        </w:rPr>
      </w:pPr>
      <w:r>
        <w:rPr>
          <w:rFonts w:hint="eastAsia" w:ascii="彩虹粗仿宋" w:hAnsi="宋体" w:eastAsia="彩虹粗仿宋"/>
          <w:b/>
          <w:bCs/>
          <w:snapToGrid w:val="0"/>
          <w:kern w:val="0"/>
          <w:sz w:val="36"/>
          <w:szCs w:val="36"/>
          <w:lang w:val="en-US" w:eastAsia="zh-CN"/>
        </w:rPr>
        <w:t>附件：</w:t>
      </w:r>
      <w:r>
        <w:rPr>
          <w:rFonts w:hint="eastAsia" w:ascii="彩虹粗仿宋" w:hAnsi="宋体" w:eastAsia="彩虹粗仿宋"/>
          <w:snapToGrid w:val="0"/>
          <w:vanish/>
          <w:kern w:val="0"/>
          <w:sz w:val="32"/>
          <w:szCs w:val="32"/>
        </w:rPr>
        <w:t>故无需供应商提供履约保证。</w:t>
      </w:r>
    </w:p>
    <w:tbl>
      <w:tblPr>
        <w:tblpPr w:leftFromText="180" w:rightFromText="180" w:vertAnchor="text" w:horzAnchor="page" w:tblpX="555" w:tblpY="350"/>
        <w:tblOverlap w:val="never"/>
        <w:tblW w:w="110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16"/>
        <w:gridCol w:w="1616"/>
        <w:gridCol w:w="3148"/>
        <w:gridCol w:w="4211"/>
        <w:gridCol w:w="13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1009" w:type="dxa"/>
            <w:gridSpan w:val="5"/>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将乐县政府芯片碗、餐盘参数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序号</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名称</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颜色及材质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尺寸参数</w:t>
            </w:r>
          </w:p>
        </w:tc>
        <w:tc>
          <w:tcPr>
            <w:tcW w:w="131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需求数量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螺纹碗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外淡蓝色内古瓷（密胺材质）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直径：20.4cm；高：8.22cm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螺纹碗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直径：20.4cm；高：8.22cm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3</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大斜口盘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直径：11.8cm；宽：11.8cm；高：3.4cm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4</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大斜口盘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直径：11.8cm；宽：11.8cm；高：3.4cm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5</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简欧深圆盘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直径：15.2cm；高：3cm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6</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简欧深圆盘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外草绿色内古瓷（密胺材质）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直径：15.2cm；高：3cm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7</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外淡蓝色内古瓷（密胺材质）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直径：13.93cm；高：2.37cm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8</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外橘黄色内古瓷（密胺材质）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直径：13.93cm；高：2.37cm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9</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13.5方圆盘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直径：13.8cm；高：1.95cm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10</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13.5方圆盘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直径：13.8cm；高：1.95cm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11</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2号单耳碗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外淡蓝色内古瓷（密胺材质）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直径：12.35cm；高：4.69cm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12</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2号单耳碗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直径：12.35cm；高：4.69cm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13</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梅花盘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外橘黄色内古瓷（密胺材质）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直径：13.9cm；高：3.55cm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14</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梅花盘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直径：13.9cm；高：3.55cm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15</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翘脚盘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外淡蓝色内古瓷（密胺材质）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直径：12.7cm；高：3.39cm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16</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翘脚盘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直径：12.7cm；高：3.39cm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17</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大翘脚盘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直径：13.2cm；高：3.55cm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18</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大翘脚盘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外草绿色内古瓷（密胺材质）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直径：13.2cm；高：3.55cm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19</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面 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直径：17.78cm；高：7.69cm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20</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面 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直径：17.78cm；高：7.69cm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21</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4.7吋包边碗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直径：12cm；高：5.2cm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22</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中碗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直径：13.5cm；高：6.13cm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23</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中碗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外草绿色内古瓷（密胺材质）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直径：13.5cm；高：6.13cm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24</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直径：15.25cm；高：6.9cm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25</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外草绿色内古瓷（密胺材质）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直径：15.25cm；高：6.9cm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26</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简欧大碗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外玫红色内古瓷（密胺材质）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直径：15.18cm；高：4.38cm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27</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大腰盘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外淡蓝色内古瓷（密胺材质）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直径：19cm；宽：11.3cm；高：3cm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28</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大腰盘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外橘黄色内古瓷（密胺材质）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直径：19cm；宽：11.3cm；高：3cm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29</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密胺托盘</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直径：43.5cm；宽：30cm；高：3cm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30</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平滑勺</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古瓷（密胺材质）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直径：14.2cm；宽：3.7cm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31</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筷子</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黑色（密胺材质）</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直径：27cm</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32</w:t>
            </w:r>
          </w:p>
        </w:tc>
        <w:tc>
          <w:tcPr>
            <w:tcW w:w="16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不锈钢汤碗</w:t>
            </w:r>
          </w:p>
        </w:tc>
        <w:tc>
          <w:tcPr>
            <w:tcW w:w="314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304不锈钢原色</w:t>
            </w:r>
          </w:p>
        </w:tc>
        <w:tc>
          <w:tcPr>
            <w:tcW w:w="421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bdr w:val="none" w:color="auto" w:sz="0" w:space="0"/>
                <w:lang w:val="en-US" w:eastAsia="zh-CN" w:bidi="ar"/>
              </w:rPr>
              <w:t>11.5cm汤碗双层的不锈钢</w:t>
            </w:r>
          </w:p>
        </w:tc>
        <w:tc>
          <w:tcPr>
            <w:tcW w:w="131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6"/>
                <w:szCs w:val="26"/>
                <w:u w:val="none"/>
              </w:rPr>
            </w:pPr>
            <w:r>
              <w:rPr>
                <w:rFonts w:hint="eastAsia" w:ascii="彩虹粗仿宋" w:hAnsi="彩虹粗仿宋" w:eastAsia="彩虹粗仿宋" w:cs="彩虹粗仿宋"/>
                <w:i w:val="0"/>
                <w:iCs w:val="0"/>
                <w:color w:val="000000"/>
                <w:kern w:val="0"/>
                <w:sz w:val="26"/>
                <w:szCs w:val="26"/>
                <w:u w:val="none"/>
                <w:bdr w:val="none" w:color="auto" w:sz="0" w:space="0"/>
                <w:lang w:val="en-US" w:eastAsia="zh-CN" w:bidi="ar"/>
              </w:rPr>
              <w:t>500</w:t>
            </w:r>
          </w:p>
        </w:tc>
      </w:tr>
    </w:tbl>
    <w:p>
      <w:pPr>
        <w:rPr>
          <w:rFonts w:hint="default"/>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dit="readOnly"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C1E"/>
    <w:rsid w:val="000038C1"/>
    <w:rsid w:val="001B77B2"/>
    <w:rsid w:val="00336C1E"/>
    <w:rsid w:val="004C5428"/>
    <w:rsid w:val="00E4046C"/>
    <w:rsid w:val="00EE73D0"/>
    <w:rsid w:val="00F90D69"/>
    <w:rsid w:val="036268EC"/>
    <w:rsid w:val="03F90A63"/>
    <w:rsid w:val="091C7001"/>
    <w:rsid w:val="09A76BE4"/>
    <w:rsid w:val="09AB326B"/>
    <w:rsid w:val="10B83DC4"/>
    <w:rsid w:val="1AE03D00"/>
    <w:rsid w:val="1F237A08"/>
    <w:rsid w:val="1F463DD8"/>
    <w:rsid w:val="29E521B7"/>
    <w:rsid w:val="2E5A41FA"/>
    <w:rsid w:val="30155CC6"/>
    <w:rsid w:val="376620DE"/>
    <w:rsid w:val="44A02D9B"/>
    <w:rsid w:val="52433658"/>
    <w:rsid w:val="52524362"/>
    <w:rsid w:val="54AF027F"/>
    <w:rsid w:val="5577277F"/>
    <w:rsid w:val="5B0C0140"/>
    <w:rsid w:val="5C902FE3"/>
    <w:rsid w:val="64E715E2"/>
    <w:rsid w:val="678A1523"/>
    <w:rsid w:val="76BF1BB3"/>
    <w:rsid w:val="76CC75F6"/>
    <w:rsid w:val="77120DEA"/>
    <w:rsid w:val="7BA456F2"/>
    <w:rsid w:val="7C3A2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line="560" w:lineRule="exact"/>
      <w:ind w:firstLine="640" w:firstLineChars="200"/>
      <w:outlineLvl w:val="0"/>
    </w:pPr>
    <w:rPr>
      <w:rFonts w:ascii="Times New Roman" w:hAnsi="Times New Roman" w:eastAsia="彩虹黑体" w:cs="Times New Roman"/>
      <w:b/>
      <w:bCs/>
      <w:kern w:val="44"/>
      <w:sz w:val="32"/>
      <w:szCs w:val="32"/>
    </w:rPr>
  </w:style>
  <w:style w:type="paragraph" w:styleId="3">
    <w:name w:val="heading 2"/>
    <w:basedOn w:val="1"/>
    <w:next w:val="1"/>
    <w:link w:val="16"/>
    <w:unhideWhenUsed/>
    <w:qFormat/>
    <w:uiPriority w:val="9"/>
    <w:pPr>
      <w:keepNext/>
      <w:keepLines/>
      <w:spacing w:line="560" w:lineRule="exact"/>
      <w:ind w:firstLine="880" w:firstLineChars="200"/>
      <w:outlineLvl w:val="1"/>
    </w:pPr>
    <w:rPr>
      <w:rFonts w:hint="eastAsia" w:ascii="彩虹楷体" w:hAnsi="彩虹楷体" w:eastAsia="彩虹楷体" w:cs="Times New Roman"/>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8"/>
    <w:qFormat/>
    <w:uiPriority w:val="0"/>
    <w:rPr>
      <w:rFonts w:ascii="宋体" w:hAnsi="Courier New" w:eastAsia="宋体" w:cs="黑体"/>
      <w:szCs w:val="21"/>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2"/>
    <w:basedOn w:val="1"/>
    <w:link w:val="20"/>
    <w:unhideWhenUsed/>
    <w:qFormat/>
    <w:uiPriority w:val="0"/>
    <w:pPr>
      <w:spacing w:after="120" w:line="480" w:lineRule="auto"/>
      <w:ind w:firstLine="200" w:firstLineChars="200"/>
    </w:pPr>
    <w:rPr>
      <w:rFonts w:eastAsia="宋体"/>
      <w:sz w:val="24"/>
    </w:rPr>
  </w:style>
  <w:style w:type="paragraph" w:styleId="8">
    <w:name w:val="HTML Preformatted"/>
    <w:basedOn w:val="1"/>
    <w:link w:val="1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Normal (Web)"/>
    <w:basedOn w:val="1"/>
    <w:unhideWhenUsed/>
    <w:qFormat/>
    <w:uiPriority w:val="99"/>
    <w:pPr>
      <w:widowControl/>
      <w:spacing w:line="360" w:lineRule="auto"/>
      <w:jc w:val="left"/>
    </w:pPr>
    <w:rPr>
      <w:rFonts w:ascii="彩虹粗仿宋" w:hAnsi="彩虹粗仿宋" w:eastAsia="彩虹粗仿宋" w:cs="Times New Roman"/>
      <w:kern w:val="0"/>
      <w:szCs w:val="24"/>
    </w:rPr>
  </w:style>
  <w:style w:type="character" w:customStyle="1" w:styleId="12">
    <w:name w:val="页眉 Char"/>
    <w:basedOn w:val="11"/>
    <w:link w:val="6"/>
    <w:qFormat/>
    <w:uiPriority w:val="99"/>
    <w:rPr>
      <w:sz w:val="18"/>
      <w:szCs w:val="18"/>
    </w:rPr>
  </w:style>
  <w:style w:type="character" w:customStyle="1" w:styleId="13">
    <w:name w:val="页脚 Char"/>
    <w:basedOn w:val="11"/>
    <w:link w:val="5"/>
    <w:qFormat/>
    <w:uiPriority w:val="99"/>
    <w:rPr>
      <w:sz w:val="18"/>
      <w:szCs w:val="18"/>
    </w:rPr>
  </w:style>
  <w:style w:type="paragraph" w:styleId="14">
    <w:name w:val="List Paragraph"/>
    <w:basedOn w:val="1"/>
    <w:qFormat/>
    <w:uiPriority w:val="34"/>
    <w:pPr>
      <w:ind w:firstLine="420" w:firstLineChars="200"/>
    </w:pPr>
    <w:rPr>
      <w:rFonts w:ascii="Calibri" w:hAnsi="Calibri" w:eastAsia="宋体" w:cs="Times New Roman"/>
    </w:rPr>
  </w:style>
  <w:style w:type="character" w:customStyle="1" w:styleId="15">
    <w:name w:val="标题 1 Char"/>
    <w:basedOn w:val="11"/>
    <w:link w:val="2"/>
    <w:qFormat/>
    <w:uiPriority w:val="9"/>
    <w:rPr>
      <w:rFonts w:ascii="Times New Roman" w:hAnsi="Times New Roman" w:eastAsia="彩虹黑体" w:cs="Times New Roman"/>
      <w:b/>
      <w:bCs/>
      <w:kern w:val="44"/>
      <w:sz w:val="32"/>
      <w:szCs w:val="32"/>
    </w:rPr>
  </w:style>
  <w:style w:type="character" w:customStyle="1" w:styleId="16">
    <w:name w:val="标题 2 Char"/>
    <w:basedOn w:val="11"/>
    <w:link w:val="3"/>
    <w:qFormat/>
    <w:uiPriority w:val="9"/>
    <w:rPr>
      <w:rFonts w:ascii="彩虹楷体" w:hAnsi="彩虹楷体" w:eastAsia="彩虹楷体" w:cs="Times New Roman"/>
      <w:b/>
      <w:bCs/>
      <w:sz w:val="32"/>
      <w:szCs w:val="32"/>
    </w:rPr>
  </w:style>
  <w:style w:type="character" w:customStyle="1" w:styleId="17">
    <w:name w:val="HTML 预设格式 Char"/>
    <w:basedOn w:val="11"/>
    <w:link w:val="8"/>
    <w:qFormat/>
    <w:uiPriority w:val="99"/>
    <w:rPr>
      <w:rFonts w:ascii="宋体" w:hAnsi="宋体" w:eastAsia="宋体" w:cs="宋体"/>
      <w:kern w:val="0"/>
      <w:sz w:val="24"/>
      <w:szCs w:val="24"/>
    </w:rPr>
  </w:style>
  <w:style w:type="character" w:customStyle="1" w:styleId="18">
    <w:name w:val="纯文本 Char"/>
    <w:link w:val="4"/>
    <w:qFormat/>
    <w:uiPriority w:val="0"/>
    <w:rPr>
      <w:rFonts w:ascii="宋体" w:hAnsi="Courier New" w:eastAsia="宋体" w:cs="黑体"/>
      <w:szCs w:val="21"/>
    </w:rPr>
  </w:style>
  <w:style w:type="character" w:customStyle="1" w:styleId="19">
    <w:name w:val="纯文本 Char1"/>
    <w:basedOn w:val="11"/>
    <w:semiHidden/>
    <w:qFormat/>
    <w:uiPriority w:val="99"/>
    <w:rPr>
      <w:rFonts w:ascii="宋体" w:hAnsi="Courier New" w:eastAsia="宋体" w:cs="Courier New"/>
      <w:szCs w:val="21"/>
    </w:rPr>
  </w:style>
  <w:style w:type="character" w:customStyle="1" w:styleId="20">
    <w:name w:val="正文文本 2 Char"/>
    <w:basedOn w:val="11"/>
    <w:link w:val="7"/>
    <w:qFormat/>
    <w:uiPriority w:val="0"/>
    <w:rPr>
      <w:rFonts w:eastAsia="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4818</Words>
  <Characters>5134</Characters>
  <Lines>302</Lines>
  <Paragraphs>87</Paragraphs>
  <TotalTime>22</TotalTime>
  <ScaleCrop>false</ScaleCrop>
  <LinksUpToDate>false</LinksUpToDate>
  <CharactersWithSpaces>5219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Apache POI</dc:creator>
  <cp:lastModifiedBy>肖晓娟</cp:lastModifiedBy>
  <dcterms:modified xsi:type="dcterms:W3CDTF">2025-10-19T10:15:43Z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C0BB60584B9B4DA082969466952761FB_13</vt:lpwstr>
  </property>
</Properties>
</file>