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15711E">
      <w:pPr>
        <w:pStyle w:val="9"/>
        <w:keepNext w:val="0"/>
        <w:keepLines w:val="0"/>
        <w:pageBreakBefore w:val="0"/>
        <w:widowControl w:val="0"/>
        <w:kinsoku/>
        <w:wordWrap/>
        <w:overflowPunct/>
        <w:topLinePunct w:val="0"/>
        <w:autoSpaceDE/>
        <w:autoSpaceDN/>
        <w:bidi w:val="0"/>
        <w:adjustRightInd/>
        <w:snapToGrid/>
        <w:spacing w:after="0" w:line="560" w:lineRule="exact"/>
        <w:ind w:right="0" w:rightChars="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附件1：</w:t>
      </w:r>
    </w:p>
    <w:p w14:paraId="024CDB08">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2" w:firstLineChars="200"/>
        <w:jc w:val="both"/>
        <w:textAlignment w:val="auto"/>
        <w:outlineLvl w:val="9"/>
        <w:rPr>
          <w:rFonts w:hint="eastAsia" w:ascii="宋体" w:hAnsi="宋体" w:eastAsia="宋体" w:cs="宋体"/>
          <w:b/>
          <w:bCs/>
          <w:color w:val="000000"/>
          <w:sz w:val="24"/>
          <w:szCs w:val="24"/>
          <w:highlight w:val="none"/>
          <w:lang w:val="en-US" w:eastAsia="zh-CN"/>
        </w:rPr>
      </w:pPr>
      <w:bookmarkStart w:id="1" w:name="_GoBack"/>
      <w:r>
        <w:rPr>
          <w:rFonts w:hint="eastAsia" w:ascii="宋体" w:hAnsi="宋体" w:cs="宋体"/>
          <w:b/>
          <w:bCs/>
          <w:color w:val="000000"/>
          <w:sz w:val="24"/>
          <w:szCs w:val="24"/>
          <w:highlight w:val="none"/>
          <w:lang w:val="en-US" w:eastAsia="zh-CN"/>
        </w:rPr>
        <w:t>一、</w:t>
      </w:r>
      <w:r>
        <w:rPr>
          <w:rFonts w:hint="eastAsia" w:ascii="宋体" w:hAnsi="宋体" w:eastAsia="宋体" w:cs="宋体"/>
          <w:b/>
          <w:bCs/>
          <w:color w:val="000000"/>
          <w:sz w:val="24"/>
          <w:szCs w:val="24"/>
          <w:highlight w:val="none"/>
          <w:lang w:val="en-US" w:eastAsia="zh-CN"/>
        </w:rPr>
        <w:t>技术及服务要求（或“实施及维保服务工作说明书”）</w:t>
      </w:r>
    </w:p>
    <w:bookmarkEnd w:id="1"/>
    <w:p w14:paraId="3C481528">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bookmarkStart w:id="0" w:name="_Toc5848"/>
      <w:r>
        <w:rPr>
          <w:rFonts w:hint="eastAsia" w:ascii="宋体" w:hAnsi="宋体" w:eastAsia="宋体" w:cs="宋体"/>
          <w:color w:val="000000"/>
          <w:sz w:val="24"/>
          <w:szCs w:val="24"/>
          <w:highlight w:val="none"/>
          <w:lang w:val="en-US" w:eastAsia="zh-CN"/>
        </w:rPr>
        <w:t>（一）建设目标</w:t>
      </w:r>
    </w:p>
    <w:p w14:paraId="289903BB">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1、所有支付交易统一通过农总行渠道实现，包含银行卡、微信、支付宝、银联云闪、数字人民币等交易。</w:t>
      </w:r>
    </w:p>
    <w:p w14:paraId="69E51DCC">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2、支付接口由第三方公司开发，确保在商户操作流程不发生改变的情况下完成支付改造。</w:t>
      </w:r>
    </w:p>
    <w:p w14:paraId="39981D10">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3、支付系统建设项目包含与商户Windows、dos、安卓ERP收银系统支付对账对接。</w:t>
      </w:r>
    </w:p>
    <w:p w14:paraId="70B8F4AF">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（二）建设原则</w:t>
      </w:r>
    </w:p>
    <w:p w14:paraId="1CE903D3">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1、界面友好性原则</w:t>
      </w:r>
    </w:p>
    <w:p w14:paraId="0132CBAB">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系统界面设置方面力求界面实用、简洁、大方、美观，给用户良好的操作体验。</w:t>
      </w:r>
    </w:p>
    <w:p w14:paraId="1FAB734B">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2、可靠性与稳定性原则</w:t>
      </w:r>
    </w:p>
    <w:p w14:paraId="1E2B34C2">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系统必须具备较高的可靠性与稳定性。</w:t>
      </w:r>
    </w:p>
    <w:p w14:paraId="3EB9D7E2">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（1）系统应在资源占用、数据存储等方面设计合理，不应对服务器造成过高压力而导致死机或服务器操作系统崩溃等情况。</w:t>
      </w:r>
    </w:p>
    <w:p w14:paraId="01B91598">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2）系统后台数据库应采用目前为业界认可的关系型数据库系统,系统设计时可以对大型组织信息容量具有充分的把握，确保系统运行较长时间(如五年以上)后不会因信息过多、数据库容量不足而导致整个系统的崩溃。</w:t>
      </w:r>
    </w:p>
    <w:p w14:paraId="68672F8C">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（3）系统确保 7×24 小时稳定可靠运行。提供系统崩溃时的快速恢复机制，确保系统出现故障时能快速恢复系统正常运行。</w:t>
      </w:r>
    </w:p>
    <w:p w14:paraId="560D8692">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3、标准化原则</w:t>
      </w:r>
    </w:p>
    <w:p w14:paraId="28BA0F8D">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项目管理和建设使用开发规范标准、文档标准、管理标准、质量标准，以提高软件的可靠性、可维护性和可移植性，有利于管理软件降低软件的运行维护成本，缩短软件开发周期。在基础软件类如中间件、数据库、开发平台，选用市场上成熟的社会化程度高的软件平台。</w:t>
      </w:r>
    </w:p>
    <w:p w14:paraId="0A842A85">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4、开放性原则</w:t>
      </w:r>
    </w:p>
    <w:p w14:paraId="4AC1DBAF">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系统设计遵循开放性原则，能够支持多种硬件设备和网络系统，并支持二次开发。保证系统数据的互联互通，数据共享，建立数据仓库。提供完整、统一和准确的数据支持。系统根据相应的权限可以查询和调用系统中的相应信息，提高资源的利用率。</w:t>
      </w:r>
    </w:p>
    <w:p w14:paraId="1045F499">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5、可扩展性原则</w:t>
      </w:r>
    </w:p>
    <w:p w14:paraId="77329EA9">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 xml:space="preserve">对系统终期容量及网络发展设想进行方案设计，实现平滑扩容。采用智能接口技术，提高系统更新、维护、升级的效率。 </w:t>
      </w:r>
    </w:p>
    <w:p w14:paraId="0098C815">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6、安全性原则</w:t>
      </w:r>
    </w:p>
    <w:p w14:paraId="79AB2B09">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系统在建设过程中采取多种安全技术和防护手段， 尽可能保证系统自身的安全性、保证服务不会中断、保证数据不被非法入侵者破坏和盗用。系统安全性原则主要体现在以下几个方面:</w:t>
      </w:r>
    </w:p>
    <w:p w14:paraId="6E555327">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（1）系统有完善全面的安全体系保障，可提供不同层级客户通过局域网、因特网访问系统，系统应有先进的传输加密措施和机制。</w:t>
      </w:r>
    </w:p>
    <w:p w14:paraId="529D4C62">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（2）系统通过统一的身份认证机制实现身份认证和权限控制，并支持多种安全认证方式。</w:t>
      </w:r>
    </w:p>
    <w:p w14:paraId="44CD410F">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（3）系统具有合理的日志记录体系。</w:t>
      </w:r>
    </w:p>
    <w:p w14:paraId="1C3DE715">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7、兼容性原则</w:t>
      </w:r>
    </w:p>
    <w:p w14:paraId="46389944">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系统建设应有足够的兼容性，最大限度利用原有部分设备，充分利用已有硬件设备和网络资源，提供系统互通互联的接口，并平滑过渡，保护既有的投资的同时，注重系统的扩展性，保证系统平滑升级。</w:t>
      </w:r>
    </w:p>
    <w:p w14:paraId="44964EAD">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8、系统可管理性原则</w:t>
      </w:r>
    </w:p>
    <w:p w14:paraId="6D57057C">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在系统设计中，充分考虑了系统的可管理性，便于系统的管理和维护，系统可管理性原</w:t>
      </w:r>
    </w:p>
    <w:p w14:paraId="095DF2BE">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（三）系统总体设计</w:t>
      </w:r>
    </w:p>
    <w:p w14:paraId="03B0939C">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3.1设计原则</w:t>
      </w:r>
    </w:p>
    <w:p w14:paraId="0E726BD8">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总体设计需要遵循以下原则：</w:t>
      </w:r>
    </w:p>
    <w:p w14:paraId="07BF3CD5">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1、安全性原则</w:t>
      </w:r>
    </w:p>
    <w:p w14:paraId="00D97F78">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系统需要具有较高信息安全等级保护和较强的容错能力，使整个软件系统不易被攻击，保证财政信息的安全，并具有充分的健壮性和良好的恢复能力，保证系统安全运行。</w:t>
      </w:r>
    </w:p>
    <w:p w14:paraId="58FF6619">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2、开放性原则</w:t>
      </w:r>
    </w:p>
    <w:p w14:paraId="0C48F3CF">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采用开放的软硬件平台和体系结构，提供数据层、应用层接口，以实现与其它系统的数据交互和应用衔接。</w:t>
      </w:r>
    </w:p>
    <w:p w14:paraId="2A2370F2">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3、可扩展性原则</w:t>
      </w:r>
    </w:p>
    <w:p w14:paraId="5B286A5A">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在设计上充分考虑系统功能、系统数据和业务的扩展性，坚持开放式系统结构设计。</w:t>
      </w:r>
    </w:p>
    <w:p w14:paraId="36F8F71A">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4、系统先进性原则</w:t>
      </w:r>
    </w:p>
    <w:p w14:paraId="62E3A75A">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以先进成熟的计算机和通信技术为手段进行系统建设，遵循国际和国家相关标准或规范，保证系统可靠稳定。</w:t>
      </w:r>
    </w:p>
    <w:p w14:paraId="7BA66DCD">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5、经济、实用性原则</w:t>
      </w:r>
    </w:p>
    <w:p w14:paraId="31D01BBB">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在建设中，要立足于实际情况，充分考虑到目前各种业务实际的需求，切实实现功能和性能方面的要求，并要切实结合目前现有设备情况，尽可能充分利用现有资源，节约投资。</w:t>
      </w:r>
    </w:p>
    <w:p w14:paraId="20376636">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6、界面友好性原则</w:t>
      </w:r>
    </w:p>
    <w:p w14:paraId="3FBD2644">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根据软件工程质量标准，系统界面整齐简洁、层次清晰、一目了然。</w:t>
      </w:r>
    </w:p>
    <w:p w14:paraId="306BD95F">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7、用户投资延续性的原则</w:t>
      </w:r>
    </w:p>
    <w:p w14:paraId="420A5892">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为了保证系统的时效性，不仅保证系统的先进性、可扩展性，还需要提供系统软件的完善升级。</w:t>
      </w:r>
    </w:p>
    <w:p w14:paraId="6F5B1B2C">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8、系统稳定性与可靠性原则</w:t>
      </w:r>
    </w:p>
    <w:p w14:paraId="7F0C6100">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在建设时充分考虑系统的稳定性和可靠性，保证软件和硬件功能的正常发挥。</w:t>
      </w:r>
    </w:p>
    <w:p w14:paraId="7BDC98AA">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9、灵活性和适应性原则</w:t>
      </w:r>
    </w:p>
    <w:p w14:paraId="387A336A">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充分考虑信息化建设工作面临不断的内外部环境变化，保证系统的完整性不受影响。</w:t>
      </w:r>
    </w:p>
    <w:p w14:paraId="6DFEE841">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10、连续性与实时性原则</w:t>
      </w:r>
    </w:p>
    <w:p w14:paraId="21BDEC86">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确保在建设过程中不会中断，保障运行服务的连续性和稳定性。</w:t>
      </w:r>
    </w:p>
    <w:p w14:paraId="30F4CB20">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2"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cs="宋体"/>
          <w:b/>
          <w:bCs/>
          <w:color w:val="000000"/>
          <w:sz w:val="24"/>
          <w:szCs w:val="24"/>
          <w:highlight w:val="none"/>
          <w:lang w:val="en-US" w:eastAsia="zh-CN"/>
        </w:rPr>
        <w:t>二、</w:t>
      </w:r>
      <w:r>
        <w:rPr>
          <w:rFonts w:hint="eastAsia" w:ascii="宋体" w:hAnsi="宋体" w:eastAsia="宋体" w:cs="宋体"/>
          <w:b/>
          <w:bCs/>
          <w:color w:val="000000"/>
          <w:sz w:val="24"/>
          <w:szCs w:val="24"/>
          <w:highlight w:val="none"/>
          <w:lang w:val="en-US" w:eastAsia="zh-CN"/>
        </w:rPr>
        <w:t>合同相关要求</w:t>
      </w:r>
      <w:bookmarkEnd w:id="0"/>
    </w:p>
    <w:p w14:paraId="5DC43D1D">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1.保密要求</w:t>
      </w:r>
    </w:p>
    <w:p w14:paraId="7497B331">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供应商应保守在缔结和履行采购合同过程中获知的内部保密信息，除履行采购合同义务的必要或有法律、法规规定应披露的之外，不得以任何方式向第三人披露和不正当使用，否则，应当赔偿因泄露保密信息给对方造成的损失。供应商应对招标人客户信息承担保密义务。如供应商知悉与本采购项目相关的第三方侵害招标人保密信息的行为，供应商有义务提供线索并配合招标人进行调查取证，协助工商、司法机关查处侵权行为。</w:t>
      </w:r>
    </w:p>
    <w:p w14:paraId="65D8F610">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2.付款方式要求</w:t>
      </w:r>
    </w:p>
    <w:p w14:paraId="41F9C705">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项目成功上线且正常运营，验收合格后付款，其中BMP接口服务费按年付费（合同五年期，每年支付20%），商户MIS系统改造服务费首年支付。</w:t>
      </w:r>
    </w:p>
    <w:p w14:paraId="26AC2A65">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3.违约责任</w:t>
      </w:r>
    </w:p>
    <w:p w14:paraId="2B3DE15A">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如果供应商提供的服务不符合采购合同约定要求，招标人有权要求换货或退货、拒付合同款项、要求赔偿损失、终止采购合同，并将供货商或原厂商列入招标人采购禁入名单；如果因供应商原因造成未按时交货或未按时提供服务，每迟延一天，招标人有权要求供应商支付相应金额违约金。迟延交付货物或提供服务50天以上，招标人有权终止采购合同，并要求供应商支付相应的违约金或赔偿由此给招标人造成的损失（以二者中孰高者为准）；由供应商项目人员的原因给招标人造成损害，由供应商承担全部责任；供应商未经招标人书面同意，擅自更换项目人员或者未能按时更换不符合要求的项目人员的，招标人有权要求供应商赔偿相应损失；维保期内，供应商未能按采购合同的约定提供维修服务或不能在承诺时间内修复故障，招标人有权聘请第三方进行维修，由此产生的费用和损失由供应商承担；供应商开具的增值税专用发票符合以下情形之一的，招标人有权延迟支付应付款项，并要求供应商重新提供，且不承担任何违约责任，供应商各项义务仍按采购合同约定履行：</w:t>
      </w:r>
    </w:p>
    <w:p w14:paraId="65323929">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（1）开具虚假、作废、无效发票或因违反国家法律法规开具、提供发票的；</w:t>
      </w:r>
    </w:p>
    <w:p w14:paraId="541B3D2B">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（2）开具发票种类错误，开具发票税率与采购合同约定不符；</w:t>
      </w:r>
    </w:p>
    <w:p w14:paraId="45B84CBB">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（3）发票上的信息错误的；</w:t>
      </w:r>
    </w:p>
    <w:p w14:paraId="4AFE3BD1">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（4）因供应商延迟送达、开具错误等原因造成发票认证失败等其他情况；</w:t>
      </w:r>
    </w:p>
    <w:p w14:paraId="73AF4FF5">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如供应商拒绝重新提供或提供的发票仍不符合法律法规和监管规定的要求，招标人有权解除采购合同，并要求供应商承担由此对招标人造成的全部损失；因供应商未按采购合同约定提供增值税专用发票，而造成招标人无法抵扣增值税税额，招标人有权从未支付的采购合同款项中直接扣除招标人可抵扣税额；因供应商发票税率与采购合同约定税率不一致，而导致税额不一致，招标人有权将税额差额作为违约金，从未支付的采购合同款项中予以直接扣除。</w:t>
      </w:r>
    </w:p>
    <w:p w14:paraId="21E148F6">
      <w:pPr>
        <w:pStyle w:val="9"/>
        <w:keepNext w:val="0"/>
        <w:keepLines w:val="0"/>
        <w:pageBreakBefore w:val="0"/>
        <w:widowControl w:val="0"/>
        <w:kinsoku/>
        <w:wordWrap/>
        <w:overflowPunct/>
        <w:topLinePunct w:val="0"/>
        <w:autoSpaceDE/>
        <w:autoSpaceDN/>
        <w:bidi w:val="0"/>
        <w:adjustRightInd/>
        <w:snapToGrid/>
        <w:spacing w:after="0" w:line="360" w:lineRule="auto"/>
        <w:ind w:right="0" w:rightChars="0" w:firstLine="480" w:firstLineChars="200"/>
        <w:jc w:val="both"/>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供应商违约造成招标人的费用增加和损失，招标人有权从未支付的采购合同剩余款项中直接扣除。如未支付的采购合同剩余款项不足以弥补招标人上述费用和损失，供应商应按招标人要求向招标人支付不足部分款项。供应商违反保密或农业银行客户信息保护义务的，招标人有权解除采购合同，并要求其承担全部法律责任，赔偿因此给农业银行及其客户所造成的全部损失。</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5F2E93">
    <w:pPr>
      <w:pStyle w:val="6"/>
      <w:ind w:firstLine="360"/>
      <w:rPr>
        <w:rFonts w:ascii="Times New Roman" w:hAnsi="Times New Roman" w:eastAsia="宋体" w:cs="Times New Roman"/>
      </w:rPr>
    </w:pPr>
    <w:r>
      <w:rPr>
        <w:rFonts w:ascii="Times New Roman" w:hAnsi="Times New Roman" w:eastAsia="宋体" w:cs="Times New Roman"/>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048309C0">
                          <w:pPr>
                            <w:snapToGrid w:val="0"/>
                            <w:rPr>
                              <w:rFonts w:hint="eastAsia" w:ascii="Times New Roman" w:hAnsi="Times New Roman" w:eastAsia="宋体" w:cs="Times New Roman"/>
                              <w:sz w:val="18"/>
                              <w:lang w:eastAsia="zh-CN"/>
                            </w:rPr>
                          </w:pPr>
                          <w:r>
                            <w:rPr>
                              <w:rFonts w:hint="eastAsia" w:ascii="Times New Roman" w:hAnsi="Times New Roman" w:eastAsia="宋体" w:cs="Times New Roman"/>
                              <w:sz w:val="18"/>
                              <w:lang w:eastAsia="zh-CN"/>
                            </w:rPr>
                            <w:fldChar w:fldCharType="begin"/>
                          </w:r>
                          <w:r>
                            <w:rPr>
                              <w:rFonts w:hint="eastAsia" w:ascii="Times New Roman" w:hAnsi="Times New Roman" w:eastAsia="宋体" w:cs="Times New Roman"/>
                              <w:sz w:val="18"/>
                              <w:lang w:eastAsia="zh-CN"/>
                            </w:rPr>
                            <w:instrText xml:space="preserve"> PAGE  \* MERGEFORMAT </w:instrText>
                          </w:r>
                          <w:r>
                            <w:rPr>
                              <w:rFonts w:hint="eastAsia" w:ascii="Times New Roman" w:hAnsi="Times New Roman" w:eastAsia="宋体" w:cs="Times New Roman"/>
                              <w:sz w:val="18"/>
                              <w:lang w:eastAsia="zh-CN"/>
                            </w:rPr>
                            <w:fldChar w:fldCharType="separate"/>
                          </w:r>
                          <w:r>
                            <w:rPr>
                              <w:rFonts w:hint="eastAsia" w:ascii="Times New Roman" w:hAnsi="Times New Roman" w:eastAsia="宋体" w:cs="Times New Roman"/>
                              <w:sz w:val="18"/>
                              <w:lang w:eastAsia="zh-CN"/>
                            </w:rPr>
                            <w:t>35</w:t>
                          </w:r>
                          <w:r>
                            <w:rPr>
                              <w:rFonts w:hint="eastAsia" w:ascii="Times New Roman" w:hAnsi="Times New Roman" w:eastAsia="宋体" w:cs="Times New Roman"/>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14:paraId="048309C0">
                    <w:pPr>
                      <w:snapToGrid w:val="0"/>
                      <w:rPr>
                        <w:rFonts w:hint="eastAsia" w:ascii="Times New Roman" w:hAnsi="Times New Roman" w:eastAsia="宋体" w:cs="Times New Roman"/>
                        <w:sz w:val="18"/>
                        <w:lang w:eastAsia="zh-CN"/>
                      </w:rPr>
                    </w:pPr>
                    <w:r>
                      <w:rPr>
                        <w:rFonts w:hint="eastAsia" w:ascii="Times New Roman" w:hAnsi="Times New Roman" w:eastAsia="宋体" w:cs="Times New Roman"/>
                        <w:sz w:val="18"/>
                        <w:lang w:eastAsia="zh-CN"/>
                      </w:rPr>
                      <w:fldChar w:fldCharType="begin"/>
                    </w:r>
                    <w:r>
                      <w:rPr>
                        <w:rFonts w:hint="eastAsia" w:ascii="Times New Roman" w:hAnsi="Times New Roman" w:eastAsia="宋体" w:cs="Times New Roman"/>
                        <w:sz w:val="18"/>
                        <w:lang w:eastAsia="zh-CN"/>
                      </w:rPr>
                      <w:instrText xml:space="preserve"> PAGE  \* MERGEFORMAT </w:instrText>
                    </w:r>
                    <w:r>
                      <w:rPr>
                        <w:rFonts w:hint="eastAsia" w:ascii="Times New Roman" w:hAnsi="Times New Roman" w:eastAsia="宋体" w:cs="Times New Roman"/>
                        <w:sz w:val="18"/>
                        <w:lang w:eastAsia="zh-CN"/>
                      </w:rPr>
                      <w:fldChar w:fldCharType="separate"/>
                    </w:r>
                    <w:r>
                      <w:rPr>
                        <w:rFonts w:hint="eastAsia" w:ascii="Times New Roman" w:hAnsi="Times New Roman" w:eastAsia="宋体" w:cs="Times New Roman"/>
                        <w:sz w:val="18"/>
                        <w:lang w:eastAsia="zh-CN"/>
                      </w:rPr>
                      <w:t>35</w:t>
                    </w:r>
                    <w:r>
                      <w:rPr>
                        <w:rFonts w:hint="eastAsia" w:ascii="Times New Roman" w:hAnsi="Times New Roman" w:eastAsia="宋体" w:cs="Times New Roman"/>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7C497E">
    <w:pPr>
      <w:pStyle w:val="7"/>
      <w:ind w:firstLine="360"/>
      <w:rPr>
        <w:rFonts w:eastAsia="宋体"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3110F9"/>
    <w:rsid w:val="09511452"/>
    <w:rsid w:val="0D2A5E5E"/>
    <w:rsid w:val="10001DDD"/>
    <w:rsid w:val="14C34FC9"/>
    <w:rsid w:val="1AC42129"/>
    <w:rsid w:val="33337A93"/>
    <w:rsid w:val="3A5B76CC"/>
    <w:rsid w:val="44665D8E"/>
    <w:rsid w:val="76725E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qFormat="1" w:unhideWhenUsed="0" w:uiPriority="99"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3">
    <w:name w:val="Default Paragraph Font"/>
    <w:semiHidden/>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Lines="0" w:afterAutospacing="0"/>
    </w:pPr>
    <w:rPr>
      <w:rFonts w:eastAsia="宋体"/>
    </w:rPr>
  </w:style>
  <w:style w:type="paragraph" w:styleId="4">
    <w:name w:val="Body Text Indent"/>
    <w:next w:val="5"/>
    <w:unhideWhenUsed/>
    <w:qFormat/>
    <w:uiPriority w:val="99"/>
    <w:pPr>
      <w:widowControl w:val="0"/>
      <w:spacing w:after="120" w:afterLines="0"/>
      <w:ind w:left="420" w:leftChars="200"/>
      <w:jc w:val="both"/>
    </w:pPr>
    <w:rPr>
      <w:rFonts w:ascii="Times New Roman" w:hAnsi="Times New Roman" w:eastAsia="宋体" w:cs="Times New Roman"/>
      <w:kern w:val="2"/>
      <w:sz w:val="21"/>
      <w:szCs w:val="24"/>
      <w:lang w:val="en-US" w:eastAsia="zh-CN" w:bidi="ar-SA"/>
    </w:rPr>
  </w:style>
  <w:style w:type="paragraph" w:styleId="5">
    <w:name w:val="envelope return"/>
    <w:qFormat/>
    <w:uiPriority w:val="0"/>
    <w:pPr>
      <w:widowControl w:val="0"/>
      <w:snapToGrid w:val="0"/>
      <w:jc w:val="both"/>
    </w:pPr>
    <w:rPr>
      <w:rFonts w:ascii="Arial" w:hAnsi="Arial" w:eastAsia="宋体" w:cs="Times New Roman"/>
      <w:kern w:val="2"/>
      <w:sz w:val="21"/>
      <w:szCs w:val="24"/>
      <w:lang w:val="en-US" w:eastAsia="zh-CN" w:bidi="ar-SA"/>
    </w:rPr>
  </w:style>
  <w:style w:type="paragraph" w:styleId="6">
    <w:name w:val="footer"/>
    <w:qFormat/>
    <w:uiPriority w:val="0"/>
    <w:pPr>
      <w:widowControl w:val="0"/>
      <w:tabs>
        <w:tab w:val="center" w:pos="4153"/>
        <w:tab w:val="right" w:pos="8306"/>
      </w:tabs>
      <w:snapToGrid w:val="0"/>
      <w:jc w:val="left"/>
    </w:pPr>
    <w:rPr>
      <w:rFonts w:ascii="Times New Roman" w:hAnsi="Times New Roman" w:eastAsia="宋体" w:cs="Times New Roman"/>
      <w:kern w:val="2"/>
      <w:sz w:val="18"/>
      <w:szCs w:val="24"/>
      <w:lang w:val="en-US" w:eastAsia="zh-CN" w:bidi="ar-SA"/>
    </w:rPr>
  </w:style>
  <w:style w:type="paragraph" w:styleId="7">
    <w:name w:val="header"/>
    <w:qFormat/>
    <w:uiPriority w:val="0"/>
    <w:pPr>
      <w:widowControl w:val="0"/>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eastAsia="宋体" w:cs="Times New Roman"/>
      <w:kern w:val="2"/>
      <w:sz w:val="18"/>
      <w:szCs w:val="24"/>
      <w:lang w:val="en-US" w:eastAsia="zh-CN" w:bidi="ar-SA"/>
    </w:rPr>
  </w:style>
  <w:style w:type="paragraph" w:styleId="8">
    <w:name w:val="Body Text Indent 3"/>
    <w:basedOn w:val="1"/>
    <w:qFormat/>
    <w:uiPriority w:val="99"/>
    <w:pPr>
      <w:widowControl/>
      <w:spacing w:before="60" w:after="60" w:line="280" w:lineRule="atLeast"/>
      <w:ind w:right="291" w:firstLine="400"/>
    </w:pPr>
    <w:rPr>
      <w:rFonts w:ascii="宋体"/>
      <w:kern w:val="0"/>
    </w:rPr>
  </w:style>
  <w:style w:type="paragraph" w:styleId="9">
    <w:name w:val="Body Text 2"/>
    <w:next w:val="3"/>
    <w:unhideWhenUsed/>
    <w:qFormat/>
    <w:uiPriority w:val="99"/>
    <w:pPr>
      <w:widowControl w:val="0"/>
      <w:spacing w:after="120" w:line="480" w:lineRule="auto"/>
      <w:jc w:val="both"/>
    </w:pPr>
    <w:rPr>
      <w:rFonts w:ascii="Times New Roman" w:hAnsi="Times New Roman" w:eastAsia="宋体" w:cs="Times New Roman"/>
      <w:kern w:val="2"/>
      <w:sz w:val="21"/>
      <w:szCs w:val="24"/>
      <w:lang w:val="en-US" w:eastAsia="zh-CN" w:bidi="ar-SA"/>
    </w:rPr>
  </w:style>
  <w:style w:type="paragraph" w:styleId="10">
    <w:name w:val="Body Text First Indent"/>
    <w:next w:val="3"/>
    <w:unhideWhenUsed/>
    <w:qFormat/>
    <w:uiPriority w:val="0"/>
    <w:pPr>
      <w:widowControl w:val="0"/>
      <w:spacing w:after="120" w:afterLines="0" w:line="240" w:lineRule="auto"/>
      <w:ind w:firstLine="420" w:firstLineChars="100"/>
      <w:jc w:val="both"/>
    </w:pPr>
    <w:rPr>
      <w:rFonts w:ascii="Calibri" w:hAnsi="Calibri" w:eastAsia="宋体" w:cs="Times New Roman"/>
      <w:b/>
      <w:bCs/>
      <w:kern w:val="2"/>
      <w:sz w:val="21"/>
      <w:szCs w:val="22"/>
      <w:lang w:val="en-US" w:eastAsia="zh-CN" w:bidi="ar-SA"/>
    </w:rPr>
  </w:style>
  <w:style w:type="paragraph" w:styleId="11">
    <w:name w:val="Body Text First Indent 2"/>
    <w:next w:val="10"/>
    <w:qFormat/>
    <w:uiPriority w:val="0"/>
    <w:pPr>
      <w:widowControl w:val="0"/>
      <w:tabs>
        <w:tab w:val="left" w:pos="8640"/>
      </w:tabs>
      <w:spacing w:after="120" w:afterLines="0"/>
      <w:ind w:left="420" w:leftChars="200" w:firstLine="420" w:firstLineChars="200"/>
      <w:jc w:val="both"/>
    </w:pPr>
    <w:rPr>
      <w:rFonts w:ascii="Times New Roman" w:hAnsi="Times New Roman" w:eastAsia="宋体" w:cs="Times New Roman"/>
      <w:kern w:val="2"/>
      <w:sz w:val="21"/>
      <w:szCs w:val="24"/>
      <w:lang w:val="en-US" w:eastAsia="zh-CN" w:bidi="ar-SA"/>
    </w:rPr>
  </w:style>
  <w:style w:type="character" w:styleId="14">
    <w:name w:val="page number"/>
    <w:qFormat/>
    <w:uiPriority w:val="0"/>
  </w:style>
  <w:style w:type="paragraph" w:customStyle="1" w:styleId="15">
    <w:name w:val="列出段落1"/>
    <w:qFormat/>
    <w:uiPriority w:val="34"/>
    <w:pPr>
      <w:widowControl w:val="0"/>
      <w:ind w:firstLine="420" w:firstLineChars="200"/>
      <w:jc w:val="both"/>
    </w:pPr>
    <w:rPr>
      <w:rFonts w:ascii="Calibri" w:hAnsi="Calibri" w:eastAsia="宋体" w:cs="Times New Roman"/>
      <w:kern w:val="2"/>
      <w:sz w:val="21"/>
      <w:szCs w:val="22"/>
      <w:lang w:val="en-US" w:eastAsia="zh-CN" w:bidi="ar-SA"/>
    </w:rPr>
  </w:style>
  <w:style w:type="paragraph" w:customStyle="1" w:styleId="16">
    <w:name w:val=" Char"/>
    <w:qFormat/>
    <w:uiPriority w:val="0"/>
    <w:pPr>
      <w:widowControl w:val="0"/>
      <w:adjustRightInd w:val="0"/>
      <w:spacing w:line="360" w:lineRule="atLeast"/>
      <w:jc w:val="both"/>
      <w:textAlignment w:val="baseline"/>
    </w:pPr>
    <w:rPr>
      <w:rFonts w:ascii="Times New Roman" w:hAnsi="Times New Roman" w:eastAsia="宋体" w:cs="Times New Roman"/>
      <w:kern w:val="2"/>
      <w:sz w:val="21"/>
      <w:szCs w:val="24"/>
      <w:lang w:val="en-US" w:eastAsia="zh-CN" w:bidi="ar-SA"/>
    </w:rPr>
  </w:style>
  <w:style w:type="paragraph" w:customStyle="1" w:styleId="17">
    <w:name w:val="楷体粗正文文字"/>
    <w:basedOn w:val="1"/>
    <w:next w:val="8"/>
    <w:qFormat/>
    <w:uiPriority w:val="0"/>
    <w:pPr>
      <w:snapToGrid w:val="0"/>
      <w:spacing w:line="480" w:lineRule="exact"/>
      <w:ind w:firstLine="560" w:firstLineChars="0"/>
    </w:pPr>
    <w:rPr>
      <w:sz w:val="28"/>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2853</Words>
  <Characters>2877</Characters>
  <Lines>0</Lines>
  <Paragraphs>0</Paragraphs>
  <TotalTime>1</TotalTime>
  <ScaleCrop>false</ScaleCrop>
  <LinksUpToDate>false</LinksUpToDate>
  <CharactersWithSpaces>2881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2025-03-25T01:10:00Z</dcterms:created>
  <dc:creator>91512</dc:creator>
  <cp:lastModifiedBy>中世招标</cp:lastModifiedBy>
  <dcterms:modified xsi:type="dcterms:W3CDTF">2025-12-08T11:16:15Z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6101EE0EF30C43F4B4431C78D8927A87_12</vt:lpwstr>
  </property>
  <property fmtid="{D5CDD505-2E9C-101B-9397-08002B2CF9AE}" pid="4" name="KSOTemplateDocerSaveRecord">
    <vt:lpwstr>eyJoZGlkIjoiYjBmOTAzYTcyYzcwNjRhMTI3ZDhlNzA1MGZhNjY5MTEiLCJ1c2VySWQiOiI1OTEyODMzODgifQ==</vt:lpwstr>
  </property>
</Properties>
</file>